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永和县卫生健康和体育局2022年第二批行政处罚案件公示表</w:t>
      </w:r>
    </w:p>
    <w:tbl>
      <w:tblPr>
        <w:tblStyle w:val="4"/>
        <w:tblpPr w:leftFromText="180" w:rightFromText="180" w:vertAnchor="page" w:horzAnchor="page" w:tblpX="1518" w:tblpY="2808"/>
        <w:tblOverlap w:val="never"/>
        <w:tblW w:w="14095" w:type="dxa"/>
        <w:tblInd w:w="0" w:type="dxa"/>
        <w:tblLayout w:type="fixed"/>
        <w:tblCellMar>
          <w:top w:w="15" w:type="dxa"/>
          <w:left w:w="15" w:type="dxa"/>
          <w:bottom w:w="15" w:type="dxa"/>
          <w:right w:w="15" w:type="dxa"/>
        </w:tblCellMar>
      </w:tblPr>
      <w:tblGrid>
        <w:gridCol w:w="611"/>
        <w:gridCol w:w="1522"/>
        <w:gridCol w:w="1368"/>
        <w:gridCol w:w="2743"/>
        <w:gridCol w:w="1551"/>
        <w:gridCol w:w="2575"/>
        <w:gridCol w:w="1015"/>
        <w:gridCol w:w="1473"/>
        <w:gridCol w:w="1237"/>
      </w:tblGrid>
      <w:tr>
        <w:tblPrEx>
          <w:tblCellMar>
            <w:top w:w="15" w:type="dxa"/>
            <w:left w:w="15" w:type="dxa"/>
            <w:bottom w:w="15" w:type="dxa"/>
            <w:right w:w="15" w:type="dxa"/>
          </w:tblCellMar>
        </w:tblPrEx>
        <w:trPr>
          <w:trHeight w:val="1674"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152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b/>
                <w:bCs/>
                <w:sz w:val="28"/>
                <w:szCs w:val="28"/>
              </w:rPr>
            </w:pPr>
            <w:r>
              <w:rPr>
                <w:rFonts w:hint="eastAsia" w:ascii="仿宋" w:hAnsi="仿宋" w:eastAsia="仿宋" w:cs="仿宋"/>
                <w:b/>
                <w:bCs/>
                <w:color w:val="000000"/>
                <w:kern w:val="0"/>
                <w:sz w:val="28"/>
                <w:szCs w:val="28"/>
              </w:rPr>
              <w:t>当事人</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立案</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b/>
                <w:bCs/>
                <w:sz w:val="28"/>
                <w:szCs w:val="28"/>
              </w:rPr>
            </w:pPr>
            <w:r>
              <w:rPr>
                <w:rFonts w:hint="eastAsia" w:ascii="仿宋" w:hAnsi="仿宋" w:eastAsia="仿宋" w:cs="仿宋"/>
                <w:b/>
                <w:bCs/>
                <w:color w:val="000000"/>
                <w:kern w:val="0"/>
                <w:sz w:val="28"/>
                <w:szCs w:val="28"/>
              </w:rPr>
              <w:t>日期</w:t>
            </w:r>
          </w:p>
        </w:tc>
        <w:tc>
          <w:tcPr>
            <w:tcW w:w="2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b/>
                <w:bCs/>
                <w:sz w:val="28"/>
                <w:szCs w:val="28"/>
              </w:rPr>
            </w:pPr>
            <w:r>
              <w:rPr>
                <w:rFonts w:hint="eastAsia" w:ascii="仿宋" w:hAnsi="仿宋" w:eastAsia="仿宋" w:cs="仿宋"/>
                <w:b/>
                <w:bCs/>
                <w:color w:val="000000"/>
                <w:kern w:val="0"/>
                <w:sz w:val="28"/>
                <w:szCs w:val="28"/>
              </w:rPr>
              <w:t>案由</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行政处罚决定书</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b/>
                <w:bCs/>
                <w:sz w:val="28"/>
                <w:szCs w:val="28"/>
              </w:rPr>
            </w:pPr>
            <w:r>
              <w:rPr>
                <w:rFonts w:hint="eastAsia" w:ascii="仿宋" w:hAnsi="仿宋" w:eastAsia="仿宋" w:cs="仿宋"/>
                <w:b/>
                <w:bCs/>
                <w:color w:val="000000"/>
                <w:kern w:val="0"/>
                <w:sz w:val="28"/>
                <w:szCs w:val="28"/>
              </w:rPr>
              <w:t>文号</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b/>
                <w:bCs/>
                <w:sz w:val="28"/>
                <w:szCs w:val="28"/>
              </w:rPr>
            </w:pPr>
            <w:r>
              <w:rPr>
                <w:rFonts w:hint="eastAsia" w:ascii="仿宋" w:hAnsi="仿宋" w:eastAsia="仿宋" w:cs="仿宋"/>
                <w:b/>
                <w:bCs/>
                <w:color w:val="000000"/>
                <w:kern w:val="0"/>
                <w:sz w:val="28"/>
                <w:szCs w:val="28"/>
              </w:rPr>
              <w:t>处罚内容</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执行</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b/>
                <w:bCs/>
                <w:sz w:val="28"/>
                <w:szCs w:val="28"/>
              </w:rPr>
            </w:pPr>
            <w:r>
              <w:rPr>
                <w:rFonts w:hint="eastAsia" w:ascii="仿宋" w:hAnsi="仿宋" w:eastAsia="仿宋" w:cs="仿宋"/>
                <w:b/>
                <w:bCs/>
                <w:color w:val="000000"/>
                <w:kern w:val="0"/>
                <w:sz w:val="28"/>
                <w:szCs w:val="28"/>
              </w:rPr>
              <w:t>方式</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执行日期</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执行结果</w:t>
            </w:r>
          </w:p>
        </w:tc>
      </w:tr>
      <w:tr>
        <w:tblPrEx>
          <w:tblCellMar>
            <w:top w:w="15" w:type="dxa"/>
            <w:left w:w="15" w:type="dxa"/>
            <w:bottom w:w="15" w:type="dxa"/>
            <w:right w:w="15" w:type="dxa"/>
          </w:tblCellMar>
        </w:tblPrEx>
        <w:trPr>
          <w:trHeight w:val="4502"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p>
        </w:tc>
        <w:tc>
          <w:tcPr>
            <w:tcW w:w="152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永和县</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尚豪发艺理发店</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2022年</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3月28日</w:t>
            </w:r>
          </w:p>
        </w:tc>
        <w:tc>
          <w:tcPr>
            <w:tcW w:w="2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永和县尚豪发艺理发店未取得公共场所《卫生许可证》从事理发经营活动案</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2022-10号</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依据《公共场所卫生管理条例》第十四条第一款第（</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lang w:eastAsia="zh-CN"/>
              </w:rPr>
              <w:t>）项，《公共场所卫生管理条例实施细则》第三十</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lang w:eastAsia="zh-CN"/>
              </w:rPr>
              <w:t>条</w:t>
            </w:r>
            <w:r>
              <w:rPr>
                <w:rFonts w:hint="eastAsia" w:ascii="仿宋" w:hAnsi="仿宋" w:eastAsia="仿宋" w:cs="仿宋"/>
                <w:color w:val="000000"/>
                <w:sz w:val="32"/>
                <w:szCs w:val="32"/>
                <w:lang w:val="en-US" w:eastAsia="zh-CN"/>
              </w:rPr>
              <w:t>第一款</w:t>
            </w:r>
            <w:r>
              <w:rPr>
                <w:rFonts w:hint="eastAsia" w:ascii="仿宋" w:hAnsi="仿宋" w:eastAsia="仿宋" w:cs="仿宋"/>
                <w:color w:val="000000"/>
                <w:sz w:val="32"/>
                <w:szCs w:val="32"/>
                <w:lang w:eastAsia="zh-CN"/>
              </w:rPr>
              <w:t>予以罚款</w:t>
            </w:r>
            <w:r>
              <w:rPr>
                <w:rFonts w:hint="eastAsia" w:ascii="仿宋" w:hAnsi="仿宋" w:eastAsia="仿宋" w:cs="仿宋"/>
                <w:color w:val="000000"/>
                <w:sz w:val="32"/>
                <w:szCs w:val="32"/>
                <w:lang w:val="en-US" w:eastAsia="zh-CN"/>
              </w:rPr>
              <w:t>500元的行政处罚。</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自觉</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履行</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2022年</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3月31日</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完全</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履行</w:t>
            </w:r>
          </w:p>
        </w:tc>
      </w:tr>
      <w:tr>
        <w:tblPrEx>
          <w:tblCellMar>
            <w:top w:w="15" w:type="dxa"/>
            <w:left w:w="15" w:type="dxa"/>
            <w:bottom w:w="15" w:type="dxa"/>
            <w:right w:w="15" w:type="dxa"/>
          </w:tblCellMar>
        </w:tblPrEx>
        <w:trPr>
          <w:trHeight w:val="4502"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p>
        </w:tc>
        <w:tc>
          <w:tcPr>
            <w:tcW w:w="152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永和县蓉蓉形象管理中心</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022年</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6月21日</w:t>
            </w:r>
          </w:p>
        </w:tc>
        <w:tc>
          <w:tcPr>
            <w:tcW w:w="2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永和县蓉蓉形象管理中心未取得公共场所《卫生许可证》从事美容的公共场所经营活动作</w:t>
            </w:r>
            <w:r>
              <w:rPr>
                <w:rFonts w:hint="eastAsia" w:ascii="仿宋" w:hAnsi="仿宋" w:eastAsia="仿宋" w:cs="仿宋"/>
                <w:color w:val="000000"/>
                <w:sz w:val="32"/>
                <w:szCs w:val="32"/>
                <w:lang w:val="en-US" w:eastAsia="zh-CN"/>
              </w:rPr>
              <w:t>案</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2022-11号</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依据《公共场所卫生管理条例》第十四条第一款第（</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lang w:eastAsia="zh-CN"/>
              </w:rPr>
              <w:t>）项，《公共场所卫生管理条例实施细则》第三十</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lang w:eastAsia="zh-CN"/>
              </w:rPr>
              <w:t>条</w:t>
            </w:r>
            <w:r>
              <w:rPr>
                <w:rFonts w:hint="eastAsia" w:ascii="仿宋" w:hAnsi="仿宋" w:eastAsia="仿宋" w:cs="仿宋"/>
                <w:color w:val="000000"/>
                <w:sz w:val="32"/>
                <w:szCs w:val="32"/>
                <w:lang w:val="en-US" w:eastAsia="zh-CN"/>
              </w:rPr>
              <w:t>第一款</w:t>
            </w:r>
            <w:r>
              <w:rPr>
                <w:rFonts w:hint="eastAsia" w:ascii="仿宋" w:hAnsi="仿宋" w:eastAsia="仿宋" w:cs="仿宋"/>
                <w:color w:val="000000"/>
                <w:sz w:val="32"/>
                <w:szCs w:val="32"/>
                <w:lang w:eastAsia="zh-CN"/>
              </w:rPr>
              <w:t>予以罚款</w:t>
            </w:r>
            <w:r>
              <w:rPr>
                <w:rFonts w:hint="eastAsia" w:ascii="仿宋" w:hAnsi="仿宋" w:eastAsia="仿宋" w:cs="仿宋"/>
                <w:color w:val="000000"/>
                <w:sz w:val="32"/>
                <w:szCs w:val="32"/>
                <w:lang w:val="en-US" w:eastAsia="zh-CN"/>
              </w:rPr>
              <w:t>500元的行政处罚。</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自觉</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履行</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2022年</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6月21日</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完全</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履行</w:t>
            </w:r>
          </w:p>
        </w:tc>
      </w:tr>
      <w:tr>
        <w:tblPrEx>
          <w:tblCellMar>
            <w:top w:w="15" w:type="dxa"/>
            <w:left w:w="15" w:type="dxa"/>
            <w:bottom w:w="15" w:type="dxa"/>
            <w:right w:w="15" w:type="dxa"/>
          </w:tblCellMar>
        </w:tblPrEx>
        <w:trPr>
          <w:trHeight w:val="3116"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p>
        </w:tc>
        <w:tc>
          <w:tcPr>
            <w:tcW w:w="152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永和冯新平口腔诊所</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2022年</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8月3日</w:t>
            </w:r>
          </w:p>
        </w:tc>
        <w:tc>
          <w:tcPr>
            <w:tcW w:w="2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永和冯新平口腔诊所未建立健全个人剂量档案案</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2022-12号</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依据《放射诊疗管理规定》第四十一条第四项予以警告的行政处罚。</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自觉</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履行</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2022年</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8月3日</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完全</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履行</w:t>
            </w:r>
          </w:p>
        </w:tc>
      </w:tr>
      <w:tr>
        <w:tblPrEx>
          <w:tblCellMar>
            <w:top w:w="15" w:type="dxa"/>
            <w:left w:w="15" w:type="dxa"/>
            <w:bottom w:w="15" w:type="dxa"/>
            <w:right w:w="15" w:type="dxa"/>
          </w:tblCellMar>
        </w:tblPrEx>
        <w:trPr>
          <w:trHeight w:val="3116"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w:t>
            </w:r>
          </w:p>
        </w:tc>
        <w:tc>
          <w:tcPr>
            <w:tcW w:w="152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永和县杨家庄砖厂</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2022年</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9月27日</w:t>
            </w:r>
          </w:p>
        </w:tc>
        <w:tc>
          <w:tcPr>
            <w:tcW w:w="2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永和县杨家庄砖厂对劳动者未按照规定在岗期间职业健康检查案</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2022-13号</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《中华人民共和国职业病防治法》 第七十一条、第四款予以警告的行政处罚。</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自觉</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履行</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2022年</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9月27日</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完全</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履行</w:t>
            </w:r>
          </w:p>
        </w:tc>
      </w:tr>
      <w:tr>
        <w:tblPrEx>
          <w:tblCellMar>
            <w:top w:w="15" w:type="dxa"/>
            <w:left w:w="15" w:type="dxa"/>
            <w:bottom w:w="15" w:type="dxa"/>
            <w:right w:w="15" w:type="dxa"/>
          </w:tblCellMar>
        </w:tblPrEx>
        <w:trPr>
          <w:trHeight w:val="4398"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w:t>
            </w:r>
          </w:p>
        </w:tc>
        <w:tc>
          <w:tcPr>
            <w:tcW w:w="152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山西迅磊环保科技有限公司</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2022年</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9月29日</w:t>
            </w:r>
          </w:p>
        </w:tc>
        <w:tc>
          <w:tcPr>
            <w:tcW w:w="2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山西迅磊环保科技有限公司未按照规定在制粒车间醒目位置设置警示标识案</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2022-15号</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依据《中华人民共和国职业病防治法》第七十二条、第八款，《工作场所职业卫生监督管理规定》第五十条、第七款予以警告的行政处罚。</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自觉</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履行</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2022年</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9月29日</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完全</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履行</w:t>
            </w:r>
          </w:p>
        </w:tc>
      </w:tr>
      <w:tr>
        <w:tblPrEx>
          <w:tblCellMar>
            <w:top w:w="15" w:type="dxa"/>
            <w:left w:w="15" w:type="dxa"/>
            <w:bottom w:w="15" w:type="dxa"/>
            <w:right w:w="15" w:type="dxa"/>
          </w:tblCellMar>
        </w:tblPrEx>
        <w:trPr>
          <w:trHeight w:val="3116"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w:t>
            </w:r>
          </w:p>
        </w:tc>
        <w:tc>
          <w:tcPr>
            <w:tcW w:w="152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永和县人民医院</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2022年9月27日</w:t>
            </w:r>
          </w:p>
        </w:tc>
        <w:tc>
          <w:tcPr>
            <w:tcW w:w="2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永和县人民医院未建立健全放射工作人员个人剂量档案案</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2022-14号</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《放射诊疗管理规定》第四十一条第四项予以警告，罚款1000元的行政处罚。</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自觉</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履行</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2022年</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10月27日</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完全</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履行</w:t>
            </w:r>
          </w:p>
        </w:tc>
      </w:tr>
      <w:tr>
        <w:tblPrEx>
          <w:tblCellMar>
            <w:top w:w="15" w:type="dxa"/>
            <w:left w:w="15" w:type="dxa"/>
            <w:bottom w:w="15" w:type="dxa"/>
            <w:right w:w="15" w:type="dxa"/>
          </w:tblCellMar>
        </w:tblPrEx>
        <w:trPr>
          <w:trHeight w:val="440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w:t>
            </w:r>
          </w:p>
        </w:tc>
        <w:tc>
          <w:tcPr>
            <w:tcW w:w="152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靳瑞丽</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2022年10月16日</w:t>
            </w:r>
          </w:p>
        </w:tc>
        <w:tc>
          <w:tcPr>
            <w:tcW w:w="2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靳瑞丽未取得《医疗机构执业许可证》擅自进行输液的执业活动案</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宋体" w:hAnsi="宋体" w:eastAsia="宋体" w:cs="宋体"/>
                <w:color w:val="000000"/>
                <w:sz w:val="32"/>
                <w:szCs w:val="32"/>
                <w:lang w:val="en-US" w:eastAsia="zh-CN"/>
              </w:rPr>
            </w:pPr>
            <w:r>
              <w:rPr>
                <w:rFonts w:hint="eastAsia" w:ascii="仿宋" w:hAnsi="仿宋" w:eastAsia="仿宋" w:cs="仿宋"/>
                <w:color w:val="000000"/>
                <w:sz w:val="32"/>
                <w:szCs w:val="32"/>
                <w:lang w:val="en-US" w:eastAsia="zh-CN"/>
              </w:rPr>
              <w:t>永卫医罚</w:t>
            </w:r>
            <w:r>
              <w:rPr>
                <w:rFonts w:hint="eastAsia" w:ascii="宋体" w:hAnsi="宋体" w:eastAsia="宋体" w:cs="宋体"/>
                <w:color w:val="000000"/>
                <w:sz w:val="32"/>
                <w:szCs w:val="32"/>
                <w:lang w:val="en-US" w:eastAsia="zh-CN"/>
              </w:rPr>
              <w:t>〔</w:t>
            </w:r>
            <w:r>
              <w:rPr>
                <w:rFonts w:hint="eastAsia" w:ascii="仿宋" w:hAnsi="仿宋" w:eastAsia="仿宋" w:cs="仿宋"/>
                <w:color w:val="000000"/>
                <w:sz w:val="32"/>
                <w:szCs w:val="32"/>
                <w:lang w:val="en-US" w:eastAsia="zh-CN"/>
              </w:rPr>
              <w:t>2022</w:t>
            </w:r>
            <w:r>
              <w:rPr>
                <w:rFonts w:hint="eastAsia" w:ascii="宋体" w:hAnsi="宋体" w:eastAsia="宋体" w:cs="宋体"/>
                <w:color w:val="000000"/>
                <w:sz w:val="32"/>
                <w:szCs w:val="32"/>
                <w:lang w:val="en-US" w:eastAsia="zh-CN"/>
              </w:rPr>
              <w:t>〕</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2号</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《中华人民共和国基本医</w:t>
            </w:r>
            <w:bookmarkStart w:id="0" w:name="_GoBack"/>
            <w:bookmarkEnd w:id="0"/>
            <w:r>
              <w:rPr>
                <w:rFonts w:hint="eastAsia" w:ascii="仿宋" w:hAnsi="仿宋" w:eastAsia="仿宋" w:cs="仿宋"/>
                <w:color w:val="000000"/>
                <w:sz w:val="32"/>
                <w:szCs w:val="32"/>
                <w:lang w:val="en-US" w:eastAsia="zh-CN"/>
              </w:rPr>
              <w:t>疗卫生与健康促进法》第九十九条第一款予以罚款150000元，没收违法所得645 元，没收药品的</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行政处罚。</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自觉</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履行</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2022年</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11月10日</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完全</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履行</w:t>
            </w:r>
          </w:p>
        </w:tc>
      </w:tr>
    </w:tbl>
    <w:p>
      <w:pPr>
        <w:keepNext w:val="0"/>
        <w:keepLines w:val="0"/>
        <w:pageBreakBefore w:val="0"/>
        <w:widowControl w:val="0"/>
        <w:kinsoku/>
        <w:wordWrap/>
        <w:overflowPunct/>
        <w:topLinePunct w:val="0"/>
        <w:autoSpaceDE/>
        <w:autoSpaceDN/>
        <w:bidi w:val="0"/>
        <w:adjustRightInd/>
        <w:snapToGrid w:val="0"/>
        <w:spacing w:line="20" w:lineRule="exact"/>
        <w:jc w:val="both"/>
        <w:textAlignment w:val="auto"/>
        <w:rPr>
          <w:rFonts w:hint="eastAsia" w:ascii="方正小标宋简体" w:hAnsi="方正小标宋简体" w:eastAsia="方正小标宋简体" w:cs="方正小标宋简体"/>
          <w:sz w:val="44"/>
          <w:szCs w:val="44"/>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MmRjZWIzYmVmMDkyNmIzMmM0ZGQ3M2FiODZmN2IifQ=="/>
  </w:docVars>
  <w:rsids>
    <w:rsidRoot w:val="4A421173"/>
    <w:rsid w:val="3C574C9A"/>
    <w:rsid w:val="4A42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835</Words>
  <Characters>948</Characters>
  <Lines>0</Lines>
  <Paragraphs>0</Paragraphs>
  <TotalTime>16</TotalTime>
  <ScaleCrop>false</ScaleCrop>
  <LinksUpToDate>false</LinksUpToDate>
  <CharactersWithSpaces>950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2022-11-15T02:20:00Z</dcterms:created>
  <dc:creator>HP</dc:creator>
  <cp:lastModifiedBy>简简单单</cp:lastModifiedBy>
  <cp:lastPrinted>2022-11-15T02:44:00Z</cp:lastPrinted>
  <dcterms:modified xsi:type="dcterms:W3CDTF">2022-11-18T09:15:06Z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BD64EBBC88F14C49852F7BECB775B944</vt:lpwstr>
  </property>
</Properties>
</file>