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永和县城镇土地定级与基准地价更新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一、城区土地级别范围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6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53" w:type="pct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级别等级</w:t>
            </w:r>
          </w:p>
        </w:tc>
        <w:tc>
          <w:tcPr>
            <w:tcW w:w="3946" w:type="pct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级别范围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pct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Ⅰ级</w:t>
            </w:r>
          </w:p>
        </w:tc>
        <w:tc>
          <w:tcPr>
            <w:tcW w:w="3946" w:type="pct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北至：永和汽修厂（西北角）；响水湾桥（东北角）。</w:t>
            </w:r>
          </w:p>
          <w:p>
            <w:pPr>
              <w:pStyle w:val="3"/>
              <w:spacing w:line="360" w:lineRule="auto"/>
              <w:ind w:firstLine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南至：药家湾以北530米左右（河西路以西边界）；</w:t>
            </w:r>
          </w:p>
          <w:p>
            <w:pPr>
              <w:pStyle w:val="3"/>
              <w:spacing w:line="360" w:lineRule="auto"/>
              <w:ind w:firstLine="630" w:firstLineChars="3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药家湾桥（河西路以东边界）。</w:t>
            </w:r>
          </w:p>
          <w:p>
            <w:pPr>
              <w:pStyle w:val="3"/>
              <w:spacing w:line="360" w:lineRule="auto"/>
              <w:ind w:left="630" w:hanging="630" w:hangingChars="3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西至: 河西路以西115米--河西路以西55米--河西路以西120米--河西路以西60米--河西路以西125米--河西路以西200米。</w:t>
            </w:r>
          </w:p>
          <w:p>
            <w:pPr>
              <w:pStyle w:val="3"/>
              <w:spacing w:line="360" w:lineRule="auto"/>
              <w:ind w:left="630" w:hanging="630" w:hangingChars="3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东至：沿河路以南80米--城东路以东75米--城东路以东150米--正大路以东50米--正大路。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pct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Ⅱ级</w:t>
            </w:r>
          </w:p>
        </w:tc>
        <w:tc>
          <w:tcPr>
            <w:tcW w:w="3946" w:type="pct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北至</w:t>
            </w:r>
            <w:r>
              <w:rPr>
                <w:rFonts w:hint="eastAsia" w:eastAsia="仿宋_GB2312"/>
                <w:szCs w:val="21"/>
                <w:lang w:eastAsia="zh-CN"/>
              </w:rPr>
              <w:t>：</w:t>
            </w:r>
            <w:r>
              <w:rPr>
                <w:rFonts w:hint="eastAsia" w:eastAsia="仿宋_GB2312"/>
                <w:szCs w:val="21"/>
              </w:rPr>
              <w:t>龙吞泉桥和川口桥。</w:t>
            </w:r>
          </w:p>
          <w:p>
            <w:pPr>
              <w:pStyle w:val="3"/>
              <w:spacing w:line="360" w:lineRule="auto"/>
              <w:ind w:firstLine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南至</w:t>
            </w:r>
            <w:r>
              <w:rPr>
                <w:rFonts w:hint="eastAsia" w:eastAsia="仿宋_GB2312"/>
                <w:szCs w:val="21"/>
                <w:lang w:eastAsia="zh-CN"/>
              </w:rPr>
              <w:t>：</w:t>
            </w:r>
            <w:r>
              <w:rPr>
                <w:rFonts w:hint="eastAsia" w:eastAsia="仿宋_GB2312"/>
                <w:szCs w:val="21"/>
              </w:rPr>
              <w:t>永和县芝泉酿酒有限公司。</w:t>
            </w:r>
          </w:p>
          <w:p>
            <w:pPr>
              <w:pStyle w:val="3"/>
              <w:spacing w:line="360" w:lineRule="auto"/>
              <w:ind w:firstLine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西至</w:t>
            </w:r>
            <w:r>
              <w:rPr>
                <w:rFonts w:hint="eastAsia" w:eastAsia="仿宋_GB2312"/>
                <w:szCs w:val="21"/>
                <w:lang w:eastAsia="zh-CN"/>
              </w:rPr>
              <w:t>：</w:t>
            </w:r>
            <w:r>
              <w:rPr>
                <w:rFonts w:hint="eastAsia" w:eastAsia="仿宋_GB2312"/>
                <w:szCs w:val="21"/>
              </w:rPr>
              <w:t>定级范围西界。</w:t>
            </w:r>
          </w:p>
          <w:p>
            <w:pPr>
              <w:pStyle w:val="3"/>
              <w:spacing w:line="360" w:lineRule="auto"/>
              <w:ind w:firstLine="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东至</w:t>
            </w:r>
            <w:r>
              <w:rPr>
                <w:rFonts w:hint="eastAsia" w:eastAsia="仿宋_GB2312"/>
                <w:szCs w:val="21"/>
                <w:lang w:eastAsia="zh-CN"/>
              </w:rPr>
              <w:t>：</w:t>
            </w:r>
            <w:r>
              <w:rPr>
                <w:rFonts w:hint="eastAsia" w:eastAsia="仿宋_GB2312"/>
                <w:szCs w:val="21"/>
              </w:rPr>
              <w:t>定级范围东界。</w:t>
            </w:r>
          </w:p>
          <w:p>
            <w:pPr>
              <w:pStyle w:val="3"/>
              <w:spacing w:line="360" w:lineRule="auto"/>
              <w:ind w:firstLine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此范围内除一级范围外的其余范围即为二级范围。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" w:type="pct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Ⅲ级</w:t>
            </w:r>
          </w:p>
        </w:tc>
        <w:tc>
          <w:tcPr>
            <w:tcW w:w="3946" w:type="pct"/>
            <w:noWrap w:val="0"/>
            <w:vAlign w:val="top"/>
          </w:tcPr>
          <w:p>
            <w:pPr>
              <w:pStyle w:val="3"/>
              <w:spacing w:line="360" w:lineRule="auto"/>
              <w:ind w:firstLine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定级范围内除Ⅰ、Ⅱ级以外其他区域。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基准地价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2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城镇基准地价成果</w:t>
      </w:r>
    </w:p>
    <w:p>
      <w:pPr>
        <w:pStyle w:val="3"/>
        <w:spacing w:line="360" w:lineRule="auto"/>
        <w:ind w:firstLine="0"/>
        <w:jc w:val="center"/>
        <w:rPr>
          <w:rFonts w:eastAsia="黑体"/>
          <w:kern w:val="0"/>
          <w:szCs w:val="21"/>
        </w:rPr>
      </w:pPr>
      <w:r>
        <w:rPr>
          <w:rFonts w:hint="eastAsia" w:eastAsia="黑体"/>
          <w:kern w:val="0"/>
          <w:szCs w:val="21"/>
        </w:rPr>
        <w:t>永和</w:t>
      </w:r>
      <w:r>
        <w:rPr>
          <w:rFonts w:eastAsia="黑体"/>
          <w:kern w:val="0"/>
          <w:szCs w:val="21"/>
        </w:rPr>
        <w:t>县二O二</w:t>
      </w:r>
      <w:r>
        <w:rPr>
          <w:rFonts w:hint="eastAsia" w:eastAsia="黑体"/>
          <w:kern w:val="0"/>
          <w:szCs w:val="21"/>
        </w:rPr>
        <w:t>二</w:t>
      </w:r>
      <w:r>
        <w:rPr>
          <w:rFonts w:eastAsia="黑体"/>
          <w:kern w:val="0"/>
          <w:szCs w:val="21"/>
        </w:rPr>
        <w:t>年</w:t>
      </w:r>
      <w:r>
        <w:rPr>
          <w:rFonts w:hint="eastAsia" w:eastAsia="黑体"/>
          <w:kern w:val="0"/>
          <w:szCs w:val="21"/>
          <w:lang w:eastAsia="zh-CN"/>
        </w:rPr>
        <w:t>城镇</w:t>
      </w:r>
      <w:r>
        <w:rPr>
          <w:rFonts w:eastAsia="黑体"/>
          <w:kern w:val="0"/>
          <w:szCs w:val="21"/>
        </w:rPr>
        <w:t>基准地价表</w:t>
      </w:r>
    </w:p>
    <w:tbl>
      <w:tblPr>
        <w:tblStyle w:val="4"/>
        <w:tblW w:w="50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50"/>
        <w:gridCol w:w="854"/>
        <w:gridCol w:w="1074"/>
        <w:gridCol w:w="854"/>
        <w:gridCol w:w="1124"/>
        <w:gridCol w:w="939"/>
        <w:gridCol w:w="1159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土地</w:t>
            </w:r>
          </w:p>
          <w:p>
            <w:pPr>
              <w:widowControl/>
              <w:spacing w:line="240" w:lineRule="atLeas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级别</w:t>
            </w:r>
          </w:p>
        </w:tc>
        <w:tc>
          <w:tcPr>
            <w:tcW w:w="1099" w:type="pct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商业</w:t>
            </w:r>
          </w:p>
        </w:tc>
        <w:tc>
          <w:tcPr>
            <w:tcW w:w="1113" w:type="pct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住宅</w:t>
            </w:r>
          </w:p>
        </w:tc>
        <w:tc>
          <w:tcPr>
            <w:tcW w:w="1191" w:type="pct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工业</w:t>
            </w:r>
          </w:p>
        </w:tc>
        <w:tc>
          <w:tcPr>
            <w:tcW w:w="1207" w:type="pct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公共管理与</w:t>
            </w:r>
          </w:p>
          <w:p>
            <w:pPr>
              <w:widowControl/>
              <w:spacing w:line="240" w:lineRule="atLeas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公共服务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7" w:type="pct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万元/亩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万元/亩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万元/亩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万元/亩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7" w:type="pc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Ⅰ级</w:t>
            </w:r>
          </w:p>
        </w:tc>
        <w:tc>
          <w:tcPr>
            <w:tcW w:w="606" w:type="pct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912</w:t>
            </w:r>
          </w:p>
        </w:tc>
        <w:tc>
          <w:tcPr>
            <w:tcW w:w="49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60.8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0" w:type="pct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687</w:t>
            </w:r>
          </w:p>
        </w:tc>
        <w:tc>
          <w:tcPr>
            <w:tcW w:w="493" w:type="pct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45.80</w:t>
            </w:r>
          </w:p>
        </w:tc>
        <w:tc>
          <w:tcPr>
            <w:tcW w:w="649" w:type="pct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311 </w:t>
            </w:r>
          </w:p>
        </w:tc>
        <w:tc>
          <w:tcPr>
            <w:tcW w:w="542" w:type="pct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20.73 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410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7" w:type="pc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Ⅱ级</w:t>
            </w:r>
          </w:p>
        </w:tc>
        <w:tc>
          <w:tcPr>
            <w:tcW w:w="606" w:type="pct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725</w:t>
            </w:r>
          </w:p>
        </w:tc>
        <w:tc>
          <w:tcPr>
            <w:tcW w:w="493" w:type="pct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48.33</w:t>
            </w:r>
          </w:p>
        </w:tc>
        <w:tc>
          <w:tcPr>
            <w:tcW w:w="620" w:type="pct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589</w:t>
            </w:r>
          </w:p>
        </w:tc>
        <w:tc>
          <w:tcPr>
            <w:tcW w:w="493" w:type="pct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39.27</w:t>
            </w:r>
          </w:p>
        </w:tc>
        <w:tc>
          <w:tcPr>
            <w:tcW w:w="649" w:type="pct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279 </w:t>
            </w:r>
          </w:p>
        </w:tc>
        <w:tc>
          <w:tcPr>
            <w:tcW w:w="542" w:type="pct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18.60 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370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24.67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7" w:type="pc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Ⅲ级</w:t>
            </w:r>
          </w:p>
        </w:tc>
        <w:tc>
          <w:tcPr>
            <w:tcW w:w="606" w:type="pct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556</w:t>
            </w:r>
          </w:p>
        </w:tc>
        <w:tc>
          <w:tcPr>
            <w:tcW w:w="493" w:type="pct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37.07</w:t>
            </w:r>
          </w:p>
        </w:tc>
        <w:tc>
          <w:tcPr>
            <w:tcW w:w="620" w:type="pct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476</w:t>
            </w:r>
          </w:p>
        </w:tc>
        <w:tc>
          <w:tcPr>
            <w:tcW w:w="493" w:type="pct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31.73</w:t>
            </w:r>
          </w:p>
        </w:tc>
        <w:tc>
          <w:tcPr>
            <w:tcW w:w="649" w:type="pct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225 </w:t>
            </w:r>
          </w:p>
        </w:tc>
        <w:tc>
          <w:tcPr>
            <w:tcW w:w="542" w:type="pct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15.00 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308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20.53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0" w:leftChars="0" w:firstLine="0" w:firstLineChars="0"/>
        <w:textAlignment w:val="auto"/>
        <w:outlineLvl w:val="2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基准地价内涵</w:t>
      </w:r>
    </w:p>
    <w:p>
      <w:pPr>
        <w:pStyle w:val="3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Toc502755802"/>
      <w:bookmarkStart w:id="1" w:name="_Toc298231700"/>
      <w:bookmarkStart w:id="2" w:name="_Toc298231101"/>
      <w:r>
        <w:rPr>
          <w:rFonts w:hint="default" w:ascii="Times New Roman" w:hAnsi="Times New Roman" w:eastAsia="仿宋_GB2312" w:cs="Times New Roman"/>
          <w:sz w:val="28"/>
          <w:szCs w:val="28"/>
        </w:rPr>
        <w:t>1、估价基准日</w:t>
      </w:r>
    </w:p>
    <w:p>
      <w:pPr>
        <w:pStyle w:val="3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2022年1月1日</w:t>
      </w:r>
    </w:p>
    <w:p>
      <w:pPr>
        <w:pStyle w:val="3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2、设定开发程度</w:t>
      </w:r>
    </w:p>
    <w:p>
      <w:pPr>
        <w:pStyle w:val="3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商业用地、住宅用地：“六通一平”（宗地红线外通上水、通下水、通电、通讯、通热、通路，红线内场地平整）；</w:t>
      </w:r>
    </w:p>
    <w:p>
      <w:pPr>
        <w:pStyle w:val="3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工业用地、公共管理与公共服务用地：“五通一平”（宗地红线外通上水、通下水、通电、通讯、通路，红线内场地平整）。</w:t>
      </w:r>
    </w:p>
    <w:p>
      <w:pPr>
        <w:pStyle w:val="3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3、设定土地使用年期</w:t>
      </w:r>
    </w:p>
    <w:p>
      <w:pPr>
        <w:pStyle w:val="3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商业用地40年，住宅用地70年，工业用地及公共管理与公共服务用地50年。</w:t>
      </w:r>
    </w:p>
    <w:p>
      <w:pPr>
        <w:pStyle w:val="3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4、设定容积率</w:t>
      </w:r>
    </w:p>
    <w:p>
      <w:pPr>
        <w:pStyle w:val="3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商业用地及住宅用地2</w:t>
      </w:r>
      <w:bookmarkEnd w:id="0"/>
      <w:bookmarkEnd w:id="1"/>
      <w:bookmarkEnd w:id="2"/>
      <w:r>
        <w:rPr>
          <w:rFonts w:hint="default" w:ascii="Times New Roman" w:hAnsi="Times New Roman" w:eastAsia="仿宋_GB2312" w:cs="Times New Roman"/>
          <w:sz w:val="28"/>
          <w:szCs w:val="28"/>
        </w:rPr>
        <w:t>.0；</w:t>
      </w:r>
      <w:r>
        <w:rPr>
          <w:rFonts w:hint="default" w:ascii="Times New Roman" w:hAnsi="Times New Roman" w:eastAsia="仿宋_GB2312" w:cs="Times New Roman"/>
          <w:spacing w:val="-2"/>
          <w:sz w:val="28"/>
          <w:szCs w:val="28"/>
        </w:rPr>
        <w:t>公共管理与公共服务用地设定为1.5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9B10DA"/>
    <w:multiLevelType w:val="singleLevel"/>
    <w:tmpl w:val="9C9B10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BADD2B"/>
    <w:multiLevelType w:val="singleLevel"/>
    <w:tmpl w:val="20BADD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"/>
    <w:basedOn w:val="1"/>
    <w:semiHidden/>
    <w:qFormat/>
    <w:uiPriority w:val="0"/>
    <w:pPr>
      <w:spacing w:line="340" w:lineRule="exact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2023-02-22T08:48:13Z</dcterms:created>
  <dc:creator>Administrator</dc:creator>
  <cp:lastModifiedBy>Administrator</cp:lastModifiedBy>
  <dcterms:modified xsi:type="dcterms:W3CDTF">2023-02-22T08:48:50Z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