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ind w:left="1757"/>
        <w:spacing w:before="87" w:line="223" w:lineRule="auto"/>
        <w:outlineLvl w:val="0"/>
        <w:rPr>
          <w:rFonts w:ascii="SimSun" w:hAnsi="SimSun" w:eastAsia="SimSun" w:cs="SimSun"/>
          <w:sz w:val="43"/>
          <w:szCs w:val="43"/>
        </w:rPr>
      </w:pPr>
      <w:r>
        <w:rPr>
          <w:rFonts w:ascii="SimSun" w:hAnsi="SimSun" w:eastAsia="SimSun" w:cs="SimSun"/>
          <w:sz w:val="43"/>
          <w:szCs w:val="43"/>
          <w:b/>
          <w:bCs/>
          <w:spacing w:val="4"/>
        </w:rPr>
        <w:t>行政复议案件办理流程图</w:t>
      </w:r>
    </w:p>
    <w:p>
      <w:pPr>
        <w:spacing w:line="266" w:lineRule="auto"/>
        <w:rPr>
          <w:rFonts w:ascii="Arial"/>
          <w:sz w:val="21"/>
        </w:rPr>
      </w:pPr>
      <w:r/>
    </w:p>
    <w:p>
      <w:pPr>
        <w:pStyle w:val="BodyText"/>
        <w:ind w:firstLine="1514"/>
        <w:spacing w:line="1160" w:lineRule="exact"/>
        <w:rPr/>
      </w:pPr>
      <w:r>
        <w:rPr>
          <w:position w:val="-24"/>
        </w:rPr>
        <w:pict>
          <v:roundrect id="_x0000_s2" style="mso-position-vertical-relative:line;mso-position-horizontal-relative:char;width:293.25pt;height:56.9pt;" filled="false" strokecolor="#000000" strokeweight="1.50pt" arcsize="0.188014">
            <v:fill on="false"/>
            <v:stroke joinstyle="miter" miterlimit="0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641"/>
                    <w:spacing w:before="85" w:line="212" w:lineRule="auto"/>
                    <w:rPr>
                      <w:rFonts w:ascii="SimSun" w:hAnsi="SimSun" w:eastAsia="SimSun" w:cs="SimSun"/>
                      <w:sz w:val="24"/>
                      <w:szCs w:val="24"/>
                    </w:rPr>
                  </w:pPr>
                  <w:r>
                    <w:rPr>
                      <w:rFonts w:ascii="SimSun" w:hAnsi="SimSun" w:eastAsia="SimSun" w:cs="SimSun"/>
                      <w:sz w:val="24"/>
                      <w:szCs w:val="24"/>
                      <w:b/>
                      <w:bCs/>
                      <w:spacing w:val="-10"/>
                    </w:rPr>
                    <w:t>申请</w:t>
                  </w:r>
                </w:p>
                <w:p>
                  <w:pPr>
                    <w:ind w:left="147" w:right="134" w:firstLine="35"/>
                    <w:spacing w:before="1" w:line="216" w:lineRule="auto"/>
                    <w:rPr>
                      <w:rFonts w:ascii="FangSong_GB2312" w:hAnsi="FangSong_GB2312" w:eastAsia="FangSong_GB2312" w:cs="FangSong_GB2312"/>
                      <w:sz w:val="24"/>
                      <w:szCs w:val="24"/>
                    </w:rPr>
                  </w:pPr>
                  <w:r>
                    <w:rPr>
                      <w:rFonts w:ascii="FangSong_GB2312" w:hAnsi="FangSong_GB2312" w:eastAsia="FangSong_GB2312" w:cs="FangSong_GB2312"/>
                      <w:sz w:val="24"/>
                      <w:szCs w:val="24"/>
                      <w:spacing w:val="-6"/>
                    </w:rPr>
                    <w:t>申请人认为行政行为侵犯其合法权益的，可以自知道</w:t>
                  </w:r>
                  <w:r>
                    <w:rPr>
                      <w:rFonts w:ascii="FangSong_GB2312" w:hAnsi="FangSong_GB2312" w:eastAsia="FangSong_GB2312" w:cs="FangSong_GB2312"/>
                      <w:sz w:val="24"/>
                      <w:szCs w:val="24"/>
                      <w:spacing w:val="8"/>
                    </w:rPr>
                    <w:t xml:space="preserve"> </w:t>
                  </w:r>
                  <w:r>
                    <w:rPr>
                      <w:rFonts w:ascii="FangSong_GB2312" w:hAnsi="FangSong_GB2312" w:eastAsia="FangSong_GB2312" w:cs="FangSong_GB2312"/>
                      <w:sz w:val="24"/>
                      <w:szCs w:val="24"/>
                      <w:spacing w:val="-1"/>
                    </w:rPr>
                    <w:t>或者应当知道之日起六十日内提出行政复议申请。</w:t>
                  </w:r>
                </w:p>
              </w:txbxContent>
            </v:textbox>
          </v:roundrect>
        </w:pict>
      </w:r>
    </w:p>
    <w:p>
      <w:pPr>
        <w:ind w:firstLine="4312"/>
        <w:spacing w:line="617" w:lineRule="exact"/>
        <w:rPr/>
      </w:pPr>
      <w:r>
        <w:rPr>
          <w:position w:val="-12"/>
        </w:rPr>
        <w:drawing>
          <wp:inline distT="0" distB="0" distL="0" distR="0">
            <wp:extent cx="171450" cy="392113"/>
            <wp:effectExtent l="0" t="0" r="0" b="0"/>
            <wp:docPr id="2" name="IM 2"/>
            <wp:cNvGraphicFramePr/>
            <a:graphic>
              <a:graphicData uri="http://schemas.openxmlformats.org/drawingml/2006/picture">
                <pic:pic>
                  <pic:nvPicPr>
                    <pic:cNvPr id="2" name="IM 2"/>
                    <pic:cNvPicPr/>
                  </pic:nvPicPr>
                  <pic:blipFill>
                    <a:blip r:embed="rId1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71450" cy="3921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ind w:firstLine="1214"/>
        <w:spacing w:line="1490" w:lineRule="exact"/>
        <w:rPr/>
      </w:pPr>
      <w:r>
        <w:rPr>
          <w:position w:val="-31"/>
        </w:rPr>
        <w:pict>
          <v:roundrect id="_x0000_s4" style="mso-position-vertical-relative:line;mso-position-horizontal-relative:char;width:324.75pt;height:73.9pt;" filled="false" strokecolor="#000000" strokeweight="1.50pt" arcsize="0.183234">
            <v:fill on="false"/>
            <v:stroke joinstyle="miter" miterlimit="0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622"/>
                    <w:spacing w:before="63" w:line="224" w:lineRule="auto"/>
                    <w:rPr>
                      <w:rFonts w:ascii="SimSun" w:hAnsi="SimSun" w:eastAsia="SimSun" w:cs="SimSun"/>
                      <w:sz w:val="24"/>
                      <w:szCs w:val="24"/>
                    </w:rPr>
                  </w:pPr>
                  <w:r>
                    <w:rPr>
                      <w:rFonts w:ascii="SimSun" w:hAnsi="SimSun" w:eastAsia="SimSun" w:cs="SimSun"/>
                      <w:sz w:val="24"/>
                      <w:szCs w:val="24"/>
                      <w:b/>
                      <w:bCs/>
                      <w:spacing w:val="-3"/>
                    </w:rPr>
                    <w:t>审查</w:t>
                  </w:r>
                  <w:r>
                    <w:rPr>
                      <w:rFonts w:ascii="SimSun" w:hAnsi="SimSun" w:eastAsia="SimSun" w:cs="SimSun"/>
                      <w:sz w:val="24"/>
                      <w:szCs w:val="24"/>
                      <w:spacing w:val="-3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24"/>
                      <w:szCs w:val="24"/>
                      <w:b/>
                      <w:bCs/>
                      <w:spacing w:val="-3"/>
                    </w:rPr>
                    <w:t>受理</w:t>
                  </w:r>
                </w:p>
                <w:p>
                  <w:pPr>
                    <w:ind w:left="147" w:right="131" w:firstLine="17"/>
                    <w:spacing w:before="3" w:line="214" w:lineRule="auto"/>
                    <w:jc w:val="both"/>
                    <w:rPr>
                      <w:rFonts w:ascii="FangSong_GB2312" w:hAnsi="FangSong_GB2312" w:eastAsia="FangSong_GB2312" w:cs="FangSong_GB2312"/>
                      <w:sz w:val="24"/>
                      <w:szCs w:val="24"/>
                    </w:rPr>
                  </w:pPr>
                  <w:r>
                    <w:rPr>
                      <w:rFonts w:ascii="FangSong_GB2312" w:hAnsi="FangSong_GB2312" w:eastAsia="FangSong_GB2312" w:cs="FangSong_GB2312"/>
                      <w:sz w:val="24"/>
                      <w:szCs w:val="24"/>
                    </w:rPr>
                    <w:t>收到行政复议申请后在五个工作日内审查。对符合法律规</w:t>
                  </w:r>
                  <w:r>
                    <w:rPr>
                      <w:rFonts w:ascii="FangSong_GB2312" w:hAnsi="FangSong_GB2312" w:eastAsia="FangSong_GB2312" w:cs="FangSong_GB2312"/>
                      <w:sz w:val="24"/>
                      <w:szCs w:val="24"/>
                      <w:spacing w:val="8"/>
                    </w:rPr>
                    <w:t xml:space="preserve"> </w:t>
                  </w:r>
                  <w:r>
                    <w:rPr>
                      <w:rFonts w:ascii="FangSong_GB2312" w:hAnsi="FangSong_GB2312" w:eastAsia="FangSong_GB2312" w:cs="FangSong_GB2312"/>
                      <w:sz w:val="24"/>
                      <w:szCs w:val="24"/>
                      <w:spacing w:val="1"/>
                    </w:rPr>
                    <w:t>定的申请，应当予以受理。审查期限届满，行政复议机关</w:t>
                  </w:r>
                  <w:r>
                    <w:rPr>
                      <w:rFonts w:ascii="FangSong_GB2312" w:hAnsi="FangSong_GB2312" w:eastAsia="FangSong_GB2312" w:cs="FangSong_GB2312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FangSong_GB2312" w:hAnsi="FangSong_GB2312" w:eastAsia="FangSong_GB2312" w:cs="FangSong_GB2312"/>
                      <w:sz w:val="24"/>
                      <w:szCs w:val="24"/>
                      <w:spacing w:val="-3"/>
                    </w:rPr>
                    <w:t>未作出不予受理决定的，审查期间届满之日起视为受理。</w:t>
                  </w:r>
                </w:p>
              </w:txbxContent>
            </v:textbox>
          </v:roundrect>
        </w:pict>
      </w:r>
    </w:p>
    <w:p>
      <w:pPr>
        <w:ind w:firstLine="6607"/>
        <w:spacing w:line="594" w:lineRule="exact"/>
        <w:rPr/>
      </w:pPr>
      <w:r>
        <w:drawing>
          <wp:anchor distT="0" distB="0" distL="0" distR="0" simplePos="0" relativeHeight="251666432" behindDoc="0" locked="0" layoutInCell="1" allowOverlap="1">
            <wp:simplePos x="0" y="0"/>
            <wp:positionH relativeFrom="column">
              <wp:posOffset>2742590</wp:posOffset>
            </wp:positionH>
            <wp:positionV relativeFrom="paragraph">
              <wp:posOffset>951</wp:posOffset>
            </wp:positionV>
            <wp:extent cx="171450" cy="1714500"/>
            <wp:effectExtent l="0" t="0" r="0" b="0"/>
            <wp:wrapNone/>
            <wp:docPr id="4" name="IM 4"/>
            <wp:cNvGraphicFramePr/>
            <a:graphic>
              <a:graphicData uri="http://schemas.openxmlformats.org/drawingml/2006/picture">
                <pic:pic>
                  <pic:nvPicPr>
                    <pic:cNvPr id="4" name="IM 4"/>
                    <pic:cNvPicPr/>
                  </pic:nvPicPr>
                  <pic:blipFill>
                    <a:blip r:embed="rId2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71450" cy="171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72576" behindDoc="0" locked="0" layoutInCell="1" allowOverlap="1">
            <wp:simplePos x="0" y="0"/>
            <wp:positionH relativeFrom="column">
              <wp:posOffset>1209065</wp:posOffset>
            </wp:positionH>
            <wp:positionV relativeFrom="paragraph">
              <wp:posOffset>951</wp:posOffset>
            </wp:positionV>
            <wp:extent cx="171450" cy="371475"/>
            <wp:effectExtent l="0" t="0" r="0" b="0"/>
            <wp:wrapNone/>
            <wp:docPr id="6" name="IM 6"/>
            <wp:cNvGraphicFramePr/>
            <a:graphic>
              <a:graphicData uri="http://schemas.openxmlformats.org/drawingml/2006/picture">
                <pic:pic>
                  <pic:nvPicPr>
                    <pic:cNvPr id="6" name="IM 6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71450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position w:val="-11"/>
        </w:rPr>
        <w:drawing>
          <wp:inline distT="0" distB="0" distL="0" distR="0">
            <wp:extent cx="171450" cy="377190"/>
            <wp:effectExtent l="0" t="0" r="0" b="0"/>
            <wp:docPr id="8" name="IM 8"/>
            <wp:cNvGraphicFramePr/>
            <a:graphic>
              <a:graphicData uri="http://schemas.openxmlformats.org/drawingml/2006/picture">
                <pic:pic>
                  <pic:nvPicPr>
                    <pic:cNvPr id="8" name="IM 8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71450" cy="377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ind w:firstLine="269"/>
        <w:spacing w:line="1582" w:lineRule="exact"/>
        <w:rPr/>
      </w:pPr>
      <w:r>
        <w:pict>
          <v:roundrect id="_x0000_s6" style="position:absolute;margin-left:250.952pt;margin-top:0.874939pt;mso-position-vertical-relative:text;mso-position-horizontal-relative:text;width:178.25pt;height:77.05pt;z-index:251658240;" filled="false" strokecolor="#000000" strokeweight="1.50pt" arcsize="0.183006">
            <v:fill on="false"/>
            <v:stroke joinstyle="miter" miterlimit="0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971"/>
                    <w:spacing w:before="89" w:line="224" w:lineRule="auto"/>
                    <w:rPr>
                      <w:rFonts w:ascii="SimSun" w:hAnsi="SimSun" w:eastAsia="SimSun" w:cs="SimSun"/>
                      <w:sz w:val="24"/>
                      <w:szCs w:val="24"/>
                    </w:rPr>
                  </w:pPr>
                  <w:r>
                    <w:rPr>
                      <w:rFonts w:ascii="SimSun" w:hAnsi="SimSun" w:eastAsia="SimSun" w:cs="SimSun"/>
                      <w:sz w:val="24"/>
                      <w:szCs w:val="24"/>
                      <w:b/>
                      <w:bCs/>
                      <w:spacing w:val="-4"/>
                    </w:rPr>
                    <w:t>无管辖权告知</w:t>
                  </w:r>
                </w:p>
                <w:p>
                  <w:pPr>
                    <w:pStyle w:val="BodyText"/>
                    <w:ind w:left="168"/>
                    <w:spacing w:line="213" w:lineRule="auto"/>
                    <w:rPr/>
                  </w:pPr>
                  <w:r>
                    <w:rPr>
                      <w:spacing w:val="-6"/>
                    </w:rPr>
                    <w:t>对不属于本机关管辖的，应当</w:t>
                  </w:r>
                </w:p>
                <w:p>
                  <w:pPr>
                    <w:pStyle w:val="BodyText"/>
                    <w:ind w:left="167"/>
                    <w:spacing w:before="3" w:line="214" w:lineRule="auto"/>
                    <w:rPr/>
                  </w:pPr>
                  <w:r>
                    <w:rPr>
                      <w:spacing w:val="14"/>
                    </w:rPr>
                    <w:t>在不予受理决定中告知申请</w:t>
                  </w:r>
                </w:p>
                <w:p>
                  <w:pPr>
                    <w:pStyle w:val="BodyText"/>
                    <w:ind w:left="166"/>
                    <w:spacing w:line="214" w:lineRule="auto"/>
                    <w:rPr/>
                  </w:pPr>
                  <w:r>
                    <w:rPr>
                      <w:spacing w:val="-5"/>
                    </w:rPr>
                    <w:t>人有管辖权的行政复议机关。</w:t>
                  </w:r>
                </w:p>
              </w:txbxContent>
            </v:textbox>
          </v:roundrect>
        </w:pict>
      </w:r>
      <w:r>
        <w:rPr>
          <w:position w:val="-31"/>
        </w:rPr>
        <w:pict>
          <v:roundrect id="_x0000_s8" style="mso-position-vertical-relative:line;mso-position-horizontal-relative:char;width:176.25pt;height:77.65pt;" filled="false" strokecolor="#000000" strokeweight="1.50pt" arcsize="0.182305">
            <v:fill on="false"/>
            <v:stroke joinstyle="miter" miterlimit="0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1188"/>
                    <w:spacing w:before="62" w:line="215" w:lineRule="auto"/>
                    <w:rPr>
                      <w:rFonts w:ascii="SimSun" w:hAnsi="SimSun" w:eastAsia="SimSun" w:cs="SimSun"/>
                      <w:sz w:val="24"/>
                      <w:szCs w:val="24"/>
                    </w:rPr>
                  </w:pPr>
                  <w:r>
                    <w:rPr>
                      <w:rFonts w:ascii="SimSun" w:hAnsi="SimSun" w:eastAsia="SimSun" w:cs="SimSun"/>
                      <w:sz w:val="24"/>
                      <w:szCs w:val="24"/>
                      <w:b/>
                      <w:bCs/>
                      <w:spacing w:val="-3"/>
                    </w:rPr>
                    <w:t>不予受理</w:t>
                  </w:r>
                </w:p>
                <w:p>
                  <w:pPr>
                    <w:ind w:left="148" w:right="136" w:firstLine="4"/>
                    <w:spacing w:before="2" w:line="215" w:lineRule="auto"/>
                    <w:jc w:val="both"/>
                    <w:rPr>
                      <w:rFonts w:ascii="FangSong_GB2312" w:hAnsi="FangSong_GB2312" w:eastAsia="FangSong_GB2312" w:cs="FangSong_GB2312"/>
                      <w:sz w:val="24"/>
                      <w:szCs w:val="24"/>
                    </w:rPr>
                  </w:pPr>
                  <w:r>
                    <w:rPr>
                      <w:rFonts w:ascii="FangSong_GB2312" w:hAnsi="FangSong_GB2312" w:eastAsia="FangSong_GB2312" w:cs="FangSong_GB2312"/>
                      <w:sz w:val="24"/>
                      <w:szCs w:val="24"/>
                      <w:spacing w:val="13"/>
                    </w:rPr>
                    <w:t>对不符合法律规定的行政复</w:t>
                  </w:r>
                  <w:r>
                    <w:rPr>
                      <w:rFonts w:ascii="FangSong_GB2312" w:hAnsi="FangSong_GB2312" w:eastAsia="FangSong_GB2312" w:cs="FangSong_GB2312"/>
                      <w:sz w:val="24"/>
                      <w:szCs w:val="24"/>
                      <w:spacing w:val="2"/>
                    </w:rPr>
                    <w:t xml:space="preserve"> </w:t>
                  </w:r>
                  <w:r>
                    <w:rPr>
                      <w:rFonts w:ascii="FangSong_GB2312" w:hAnsi="FangSong_GB2312" w:eastAsia="FangSong_GB2312" w:cs="FangSong_GB2312"/>
                      <w:sz w:val="24"/>
                      <w:szCs w:val="24"/>
                      <w:spacing w:val="-6"/>
                    </w:rPr>
                    <w:t>议申请，行政复议机关应当决</w:t>
                  </w:r>
                  <w:r>
                    <w:rPr>
                      <w:rFonts w:ascii="FangSong_GB2312" w:hAnsi="FangSong_GB2312" w:eastAsia="FangSong_GB2312" w:cs="FangSong_GB2312"/>
                      <w:sz w:val="24"/>
                      <w:szCs w:val="24"/>
                      <w:spacing w:val="1"/>
                    </w:rPr>
                    <w:t xml:space="preserve"> </w:t>
                  </w:r>
                  <w:r>
                    <w:rPr>
                      <w:rFonts w:ascii="FangSong_GB2312" w:hAnsi="FangSong_GB2312" w:eastAsia="FangSong_GB2312" w:cs="FangSong_GB2312"/>
                      <w:sz w:val="24"/>
                      <w:szCs w:val="24"/>
                      <w:spacing w:val="-5"/>
                    </w:rPr>
                    <w:t>定不予受理并说明理由。</w:t>
                  </w:r>
                </w:p>
              </w:txbxContent>
            </v:textbox>
          </v:roundrect>
        </w:pict>
      </w:r>
    </w:p>
    <w:p>
      <w:pPr>
        <w:spacing w:line="253" w:lineRule="auto"/>
        <w:rPr>
          <w:rFonts w:ascii="Arial"/>
          <w:sz w:val="21"/>
        </w:rPr>
      </w:pPr>
      <w:r/>
    </w:p>
    <w:p>
      <w:pPr>
        <w:spacing w:line="253" w:lineRule="auto"/>
        <w:rPr>
          <w:rFonts w:ascii="Arial"/>
          <w:sz w:val="21"/>
        </w:rPr>
      </w:pPr>
      <w:r/>
    </w:p>
    <w:p>
      <w:pPr>
        <w:pStyle w:val="BodyText"/>
        <w:ind w:firstLine="269"/>
        <w:spacing w:before="1" w:line="1529" w:lineRule="exact"/>
        <w:rPr/>
      </w:pPr>
      <w:r>
        <w:rPr>
          <w:position w:val="-32"/>
        </w:rPr>
        <w:pict>
          <v:roundrect id="_x0000_s10" style="mso-position-vertical-relative:line;mso-position-horizontal-relative:char;width:420pt;height:75.75pt;" filled="false" strokecolor="#000000" strokeweight="1.50pt" arcsize="0.182913">
            <v:fill on="false"/>
            <v:stroke joinstyle="miter" miterlimit="0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3872"/>
                    <w:spacing w:before="82" w:line="216" w:lineRule="auto"/>
                    <w:rPr>
                      <w:rFonts w:ascii="SimSun" w:hAnsi="SimSun" w:eastAsia="SimSun" w:cs="SimSun"/>
                      <w:sz w:val="24"/>
                      <w:szCs w:val="24"/>
                    </w:rPr>
                  </w:pPr>
                  <w:r>
                    <w:rPr>
                      <w:rFonts w:ascii="SimSun" w:hAnsi="SimSun" w:eastAsia="SimSun" w:cs="SimSun"/>
                      <w:sz w:val="24"/>
                      <w:szCs w:val="24"/>
                      <w:b/>
                      <w:bCs/>
                      <w:spacing w:val="-5"/>
                    </w:rPr>
                    <w:t>答复</w:t>
                  </w:r>
                </w:p>
                <w:p>
                  <w:pPr>
                    <w:ind w:left="138" w:right="133" w:firstLine="4"/>
                    <w:spacing w:line="215" w:lineRule="auto"/>
                    <w:jc w:val="both"/>
                    <w:rPr>
                      <w:rFonts w:ascii="FangSong_GB2312" w:hAnsi="FangSong_GB2312" w:eastAsia="FangSong_GB2312" w:cs="FangSong_GB2312"/>
                      <w:sz w:val="24"/>
                      <w:szCs w:val="24"/>
                    </w:rPr>
                  </w:pPr>
                  <w:r>
                    <w:rPr>
                      <w:rFonts w:ascii="FangSong_GB2312" w:hAnsi="FangSong_GB2312" w:eastAsia="FangSong_GB2312" w:cs="FangSong_GB2312"/>
                      <w:sz w:val="24"/>
                      <w:szCs w:val="24"/>
                    </w:rPr>
                    <w:t>被申请人应当自收到行政复议申请答复通知之日起，普通程序十个工作日内</w:t>
                  </w:r>
                  <w:r>
                    <w:rPr>
                      <w:rFonts w:ascii="FangSong_GB2312" w:hAnsi="FangSong_GB2312" w:eastAsia="FangSong_GB2312" w:cs="FangSong_GB2312"/>
                      <w:sz w:val="24"/>
                      <w:szCs w:val="24"/>
                      <w:spacing w:val="10"/>
                    </w:rPr>
                    <w:t xml:space="preserve"> </w:t>
                  </w:r>
                  <w:r>
                    <w:rPr>
                      <w:rFonts w:ascii="FangSong_GB2312" w:hAnsi="FangSong_GB2312" w:eastAsia="FangSong_GB2312" w:cs="FangSong_GB2312"/>
                      <w:sz w:val="24"/>
                      <w:szCs w:val="24"/>
                    </w:rPr>
                    <w:t>（简易程序五个工作日）向行政复议机关提出书面答复，并提交作出行政行</w:t>
                  </w:r>
                  <w:r>
                    <w:rPr>
                      <w:rFonts w:ascii="FangSong_GB2312" w:hAnsi="FangSong_GB2312" w:eastAsia="FangSong_GB2312" w:cs="FangSong_GB2312"/>
                      <w:sz w:val="24"/>
                      <w:szCs w:val="24"/>
                      <w:spacing w:val="13"/>
                    </w:rPr>
                    <w:t xml:space="preserve"> </w:t>
                  </w:r>
                  <w:r>
                    <w:rPr>
                      <w:rFonts w:ascii="FangSong_GB2312" w:hAnsi="FangSong_GB2312" w:eastAsia="FangSong_GB2312" w:cs="FangSong_GB2312"/>
                      <w:sz w:val="24"/>
                      <w:szCs w:val="24"/>
                    </w:rPr>
                    <w:t>为的证据、依据和其他有关材料。逾期未答复和提交材料的视为没有。</w:t>
                  </w:r>
                </w:p>
              </w:txbxContent>
            </v:textbox>
          </v:roundrect>
        </w:pict>
      </w:r>
    </w:p>
    <w:p>
      <w:pPr>
        <w:ind w:firstLine="4297"/>
        <w:spacing w:line="616" w:lineRule="exact"/>
        <w:rPr/>
      </w:pPr>
      <w:r>
        <w:rPr>
          <w:position w:val="-12"/>
        </w:rPr>
        <w:drawing>
          <wp:inline distT="0" distB="0" distL="0" distR="0">
            <wp:extent cx="171450" cy="391477"/>
            <wp:effectExtent l="0" t="0" r="0" b="0"/>
            <wp:docPr id="10" name="IM 10"/>
            <wp:cNvGraphicFramePr/>
            <a:graphic>
              <a:graphicData uri="http://schemas.openxmlformats.org/drawingml/2006/picture">
                <pic:pic>
                  <pic:nvPicPr>
                    <pic:cNvPr id="10" name="IM 10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71450" cy="3914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ind w:firstLine="224"/>
        <w:spacing w:line="1440" w:lineRule="exact"/>
        <w:rPr/>
      </w:pPr>
      <w:r>
        <w:drawing>
          <wp:anchor distT="0" distB="0" distL="0" distR="0" simplePos="0" relativeHeight="251671552" behindDoc="0" locked="0" layoutInCell="1" allowOverlap="1">
            <wp:simplePos x="0" y="0"/>
            <wp:positionH relativeFrom="column">
              <wp:posOffset>2224176</wp:posOffset>
            </wp:positionH>
            <wp:positionV relativeFrom="paragraph">
              <wp:posOffset>901064</wp:posOffset>
            </wp:positionV>
            <wp:extent cx="171450" cy="401954"/>
            <wp:effectExtent l="0" t="0" r="0" b="0"/>
            <wp:wrapNone/>
            <wp:docPr id="12" name="IM 12"/>
            <wp:cNvGraphicFramePr/>
            <a:graphic>
              <a:graphicData uri="http://schemas.openxmlformats.org/drawingml/2006/picture">
                <pic:pic>
                  <pic:nvPicPr>
                    <pic:cNvPr id="12" name="IM 12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71450" cy="4019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position w:val="-29"/>
        </w:rPr>
        <w:pict>
          <v:roundrect id="_x0000_s12" style="mso-position-vertical-relative:line;mso-position-horizontal-relative:char;width:420pt;height:70.9pt;" filled="false" strokecolor="#000000" strokeweight="1.50pt" arcsize="0.183978">
            <v:fill on="false"/>
            <v:stroke joinstyle="miter" miterlimit="0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3876"/>
                    <w:spacing w:before="73" w:line="222" w:lineRule="auto"/>
                    <w:rPr>
                      <w:rFonts w:ascii="SimSun" w:hAnsi="SimSun" w:eastAsia="SimSun" w:cs="SimSun"/>
                      <w:sz w:val="24"/>
                      <w:szCs w:val="24"/>
                    </w:rPr>
                  </w:pPr>
                  <w:r>
                    <w:rPr>
                      <w:rFonts w:ascii="SimSun" w:hAnsi="SimSun" w:eastAsia="SimSun" w:cs="SimSun"/>
                      <w:sz w:val="24"/>
                      <w:szCs w:val="24"/>
                      <w:b/>
                      <w:bCs/>
                      <w:spacing w:val="-4"/>
                    </w:rPr>
                    <w:t>审理</w:t>
                  </w:r>
                </w:p>
                <w:p>
                  <w:pPr>
                    <w:ind w:left="149" w:right="147" w:firstLine="12"/>
                    <w:spacing w:line="215" w:lineRule="auto"/>
                    <w:rPr>
                      <w:rFonts w:ascii="FangSong_GB2312" w:hAnsi="FangSong_GB2312" w:eastAsia="FangSong_GB2312" w:cs="FangSong_GB2312"/>
                      <w:sz w:val="24"/>
                      <w:szCs w:val="24"/>
                    </w:rPr>
                  </w:pPr>
                  <w:r>
                    <w:rPr>
                      <w:rFonts w:ascii="FangSong_GB2312" w:hAnsi="FangSong_GB2312" w:eastAsia="FangSong_GB2312" w:cs="FangSong_GB2312"/>
                      <w:sz w:val="24"/>
                      <w:szCs w:val="24"/>
                      <w:spacing w:val="-2"/>
                    </w:rPr>
                    <w:t>1.适用普通程序审理，</w:t>
                  </w:r>
                  <w:r>
                    <w:rPr>
                      <w:rFonts w:ascii="FangSong_GB2312" w:hAnsi="FangSong_GB2312" w:eastAsia="FangSong_GB2312" w:cs="FangSong_GB2312"/>
                      <w:sz w:val="24"/>
                      <w:szCs w:val="24"/>
                      <w:spacing w:val="-66"/>
                    </w:rPr>
                    <w:t xml:space="preserve"> </w:t>
                  </w:r>
                  <w:r>
                    <w:rPr>
                      <w:rFonts w:ascii="FangSong_GB2312" w:hAnsi="FangSong_GB2312" w:eastAsia="FangSong_GB2312" w:cs="FangSong_GB2312"/>
                      <w:sz w:val="24"/>
                      <w:szCs w:val="24"/>
                      <w:spacing w:val="-2"/>
                    </w:rPr>
                    <w:t>自受理之日起六十日内审结。情况复杂，可以适当延</w:t>
                  </w:r>
                  <w:r>
                    <w:rPr>
                      <w:rFonts w:ascii="FangSong_GB2312" w:hAnsi="FangSong_GB2312" w:eastAsia="FangSong_GB2312" w:cs="FangSong_GB2312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FangSong_GB2312" w:hAnsi="FangSong_GB2312" w:eastAsia="FangSong_GB2312" w:cs="FangSong_GB2312"/>
                      <w:sz w:val="24"/>
                      <w:szCs w:val="24"/>
                      <w:spacing w:val="-3"/>
                    </w:rPr>
                    <w:t>长，最多延长三十日，并书面告知当事人。</w:t>
                  </w:r>
                </w:p>
                <w:p>
                  <w:pPr>
                    <w:spacing w:before="2" w:line="214" w:lineRule="auto"/>
                    <w:jc w:val="right"/>
                    <w:rPr>
                      <w:rFonts w:ascii="FangSong_GB2312" w:hAnsi="FangSong_GB2312" w:eastAsia="FangSong_GB2312" w:cs="FangSong_GB2312"/>
                      <w:sz w:val="24"/>
                      <w:szCs w:val="24"/>
                    </w:rPr>
                  </w:pPr>
                  <w:r>
                    <w:rPr>
                      <w:rFonts w:ascii="FangSong_GB2312" w:hAnsi="FangSong_GB2312" w:eastAsia="FangSong_GB2312" w:cs="FangSong_GB2312"/>
                      <w:sz w:val="24"/>
                      <w:szCs w:val="24"/>
                      <w:spacing w:val="-11"/>
                    </w:rPr>
                    <w:t>2.适用简易程序审理，自受理之日起三十日内审结（可以转为普</w:t>
                  </w:r>
                  <w:r>
                    <w:rPr>
                      <w:rFonts w:ascii="FangSong_GB2312" w:hAnsi="FangSong_GB2312" w:eastAsia="FangSong_GB2312" w:cs="FangSong_GB2312"/>
                      <w:sz w:val="24"/>
                      <w:szCs w:val="24"/>
                      <w:spacing w:val="-12"/>
                    </w:rPr>
                    <w:t>通程序审理）。</w:t>
                  </w:r>
                </w:p>
              </w:txbxContent>
            </v:textbox>
          </v:roundrect>
        </w:pict>
      </w:r>
    </w:p>
    <w:p>
      <w:pPr>
        <w:ind w:firstLine="967"/>
        <w:spacing w:line="613" w:lineRule="exact"/>
        <w:rPr/>
      </w:pPr>
      <w:r>
        <w:pict>
          <v:roundrect id="_x0000_s14" style="position:absolute;margin-left:278.702pt;margin-top:28.25pt;mso-position-vertical-relative:text;mso-position-horizontal-relative:text;width:116.75pt;height:62pt;z-index:251662336;" filled="false" strokecolor="#000000" strokeweight="1.50pt" arcsize="0.186992">
            <v:fill on="false"/>
            <v:stroke joinstyle="miter" miterlimit="0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848"/>
                    <w:spacing w:before="90" w:line="224" w:lineRule="auto"/>
                    <w:rPr>
                      <w:rFonts w:ascii="SimSun" w:hAnsi="SimSun" w:eastAsia="SimSun" w:cs="SimSun"/>
                      <w:sz w:val="24"/>
                      <w:szCs w:val="24"/>
                    </w:rPr>
                  </w:pPr>
                  <w:r>
                    <w:rPr>
                      <w:rFonts w:ascii="SimSun" w:hAnsi="SimSun" w:eastAsia="SimSun" w:cs="SimSun"/>
                      <w:sz w:val="24"/>
                      <w:szCs w:val="24"/>
                      <w:b/>
                      <w:bCs/>
                      <w:spacing w:val="-4"/>
                    </w:rPr>
                    <w:t>终止</w:t>
                  </w:r>
                </w:p>
                <w:p>
                  <w:pPr>
                    <w:pStyle w:val="BodyText"/>
                    <w:ind w:left="156"/>
                    <w:spacing w:line="214" w:lineRule="auto"/>
                    <w:rPr/>
                  </w:pPr>
                  <w:r>
                    <w:rPr>
                      <w:spacing w:val="-8"/>
                    </w:rPr>
                    <w:t>《行政复议法》第</w:t>
                  </w:r>
                </w:p>
                <w:p>
                  <w:pPr>
                    <w:pStyle w:val="BodyText"/>
                    <w:ind w:left="194"/>
                    <w:spacing w:line="216" w:lineRule="auto"/>
                    <w:rPr/>
                  </w:pPr>
                  <w:r>
                    <w:rPr>
                      <w:spacing w:val="-5"/>
                    </w:rPr>
                    <w:t>四十一条的规定。</w:t>
                  </w:r>
                </w:p>
              </w:txbxContent>
            </v:textbox>
          </v:roundrect>
        </w:pict>
      </w:r>
      <w:r>
        <w:pict>
          <v:roundrect id="_x0000_s16" style="position:absolute;margin-left:114.402pt;margin-top:29.75pt;mso-position-vertical-relative:text;mso-position-horizontal-relative:text;width:137.75pt;height:72.2pt;z-index:251659264;" filled="false" strokecolor="#000000" strokeweight="1.50pt" arcsize="0.184089">
            <v:fill on="false"/>
            <v:stroke joinstyle="miter" miterlimit="0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1070" w:right="204" w:hanging="840"/>
                    <w:spacing w:before="90" w:line="219" w:lineRule="auto"/>
                    <w:rPr>
                      <w:rFonts w:ascii="SimSun" w:hAnsi="SimSun" w:eastAsia="SimSun" w:cs="SimSun"/>
                      <w:sz w:val="24"/>
                      <w:szCs w:val="24"/>
                    </w:rPr>
                  </w:pPr>
                  <w:r>
                    <w:rPr>
                      <w:rFonts w:ascii="SimSun" w:hAnsi="SimSun" w:eastAsia="SimSun" w:cs="SimSun"/>
                      <w:sz w:val="24"/>
                      <w:szCs w:val="24"/>
                      <w:b/>
                      <w:bCs/>
                      <w:spacing w:val="-6"/>
                    </w:rPr>
                    <w:t>申请人撤回行政复议</w:t>
                  </w:r>
                  <w:r>
                    <w:rPr>
                      <w:rFonts w:ascii="SimSun" w:hAnsi="SimSun" w:eastAsia="SimSun" w:cs="SimSun"/>
                      <w:sz w:val="24"/>
                      <w:szCs w:val="24"/>
                      <w:spacing w:val="4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24"/>
                      <w:szCs w:val="24"/>
                      <w:b/>
                      <w:bCs/>
                      <w:spacing w:val="-10"/>
                    </w:rPr>
                    <w:t>申请</w:t>
                  </w:r>
                </w:p>
                <w:p>
                  <w:pPr>
                    <w:pStyle w:val="BodyText"/>
                    <w:ind w:left="173" w:right="156" w:hanging="19"/>
                    <w:spacing w:before="2" w:line="215" w:lineRule="auto"/>
                    <w:rPr/>
                  </w:pPr>
                  <w:r>
                    <w:rPr>
                      <w:spacing w:val="10"/>
                    </w:rPr>
                    <w:t>《行政复议法》第七</w:t>
                  </w:r>
                  <w:r>
                    <w:rPr>
                      <w:spacing w:val="7"/>
                    </w:rPr>
                    <w:t xml:space="preserve"> </w:t>
                  </w:r>
                  <w:r>
                    <w:rPr>
                      <w:spacing w:val="-9"/>
                    </w:rPr>
                    <w:t>十四条的规定。</w:t>
                  </w:r>
                </w:p>
              </w:txbxContent>
            </v:textbox>
          </v:roundrect>
        </w:pict>
      </w:r>
      <w:r>
        <w:rPr>
          <w:position w:val="-12"/>
        </w:rPr>
        <w:drawing>
          <wp:inline distT="0" distB="0" distL="0" distR="0">
            <wp:extent cx="171450" cy="388937"/>
            <wp:effectExtent l="0" t="0" r="0" b="0"/>
            <wp:docPr id="14" name="IM 14"/>
            <wp:cNvGraphicFramePr/>
            <a:graphic>
              <a:graphicData uri="http://schemas.openxmlformats.org/drawingml/2006/picture">
                <pic:pic>
                  <pic:nvPicPr>
                    <pic:cNvPr id="14" name="IM 14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71450" cy="3889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ind w:firstLine="434"/>
        <w:spacing w:line="4487" w:lineRule="exact"/>
        <w:rPr/>
      </w:pPr>
      <w:r>
        <w:pict>
          <v:roundrect id="_x0000_s18" style="position:absolute;margin-left:277.202pt;margin-top:90.625pt;mso-position-vertical-relative:text;mso-position-horizontal-relative:text;width:155.75pt;height:51.55pt;z-index:251661312;" filled="false" strokecolor="#000000" strokeweight="1.50pt" arcsize="0.191176">
            <v:fill on="false"/>
            <v:stroke joinstyle="miter" miterlimit="0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1014"/>
                    <w:spacing w:before="102" w:line="206" w:lineRule="auto"/>
                    <w:rPr>
                      <w:rFonts w:ascii="SimSun" w:hAnsi="SimSun" w:eastAsia="SimSun" w:cs="SimSun"/>
                      <w:sz w:val="24"/>
                      <w:szCs w:val="24"/>
                    </w:rPr>
                  </w:pPr>
                  <w:r>
                    <w:rPr>
                      <w:rFonts w:ascii="SimSun" w:hAnsi="SimSun" w:eastAsia="SimSun" w:cs="SimSun"/>
                      <w:sz w:val="24"/>
                      <w:szCs w:val="24"/>
                      <w:b/>
                      <w:bCs/>
                      <w:spacing w:val="-5"/>
                    </w:rPr>
                    <w:t>送达文书</w:t>
                  </w:r>
                </w:p>
                <w:p>
                  <w:pPr>
                    <w:ind w:left="291"/>
                    <w:spacing w:line="331" w:lineRule="exact"/>
                    <w:rPr>
                      <w:rFonts w:ascii="SimSun" w:hAnsi="SimSun" w:eastAsia="SimSun" w:cs="SimSun"/>
                      <w:sz w:val="24"/>
                      <w:szCs w:val="24"/>
                    </w:rPr>
                  </w:pPr>
                  <w:r>
                    <w:rPr>
                      <w:rFonts w:ascii="SimSun" w:hAnsi="SimSun" w:eastAsia="SimSun" w:cs="SimSun"/>
                      <w:sz w:val="24"/>
                      <w:szCs w:val="24"/>
                      <w:b/>
                      <w:bCs/>
                      <w:spacing w:val="-4"/>
                      <w:position w:val="1"/>
                    </w:rPr>
                    <w:t>监督履行行政复议决定</w:t>
                  </w:r>
                </w:p>
              </w:txbxContent>
            </v:textbox>
          </v:roundrect>
        </w:pict>
      </w:r>
      <w:r>
        <w:pict>
          <v:roundrect id="_x0000_s20" style="position:absolute;margin-left:126.452pt;margin-top:97.375pt;mso-position-vertical-relative:text;mso-position-horizontal-relative:text;width:73.25pt;height:44.75pt;z-index:251664384;" filled="false" strokecolor="#000000" strokeweight="1.50pt" arcsize="0.195028">
            <v:fill on="false"/>
            <v:stroke joinstyle="miter" miterlimit="0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312" w:right="185" w:hanging="122"/>
                    <w:spacing w:before="101" w:line="216" w:lineRule="auto"/>
                    <w:rPr>
                      <w:rFonts w:ascii="SimSun" w:hAnsi="SimSun" w:eastAsia="SimSun" w:cs="SimSun"/>
                      <w:sz w:val="24"/>
                      <w:szCs w:val="24"/>
                    </w:rPr>
                  </w:pPr>
                  <w:r>
                    <w:rPr>
                      <w:rFonts w:ascii="SimSun" w:hAnsi="SimSun" w:eastAsia="SimSun" w:cs="SimSun"/>
                      <w:sz w:val="24"/>
                      <w:szCs w:val="24"/>
                      <w:b/>
                      <w:bCs/>
                      <w:spacing w:val="-4"/>
                    </w:rPr>
                    <w:t>满六十日</w:t>
                  </w:r>
                  <w:r>
                    <w:rPr>
                      <w:rFonts w:ascii="SimSun" w:hAnsi="SimSun" w:eastAsia="SimSun" w:cs="SimSun"/>
                      <w:sz w:val="24"/>
                      <w:szCs w:val="24"/>
                      <w:spacing w:val="1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24"/>
                      <w:szCs w:val="24"/>
                      <w:b/>
                      <w:bCs/>
                      <w:spacing w:val="-4"/>
                    </w:rPr>
                    <w:t>未消除</w:t>
                  </w:r>
                </w:p>
              </w:txbxContent>
            </v:textbox>
          </v:roundrect>
        </w:pict>
      </w:r>
      <w:r>
        <w:pict>
          <v:roundrect id="_x0000_s22" style="position:absolute;margin-left:135.452pt;margin-top:165.275pt;mso-position-vertical-relative:text;mso-position-horizontal-relative:text;width:55.25pt;height:49.25pt;z-index:251665408;" filled="false" strokecolor="#000000" strokeweight="1.50pt" arcsize="0.192359">
            <v:fill on="false"/>
            <v:stroke joinstyle="miter" miterlimit="0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48" w:right="240" w:hanging="6"/>
                    <w:spacing w:before="101" w:line="231" w:lineRule="auto"/>
                    <w:rPr>
                      <w:rFonts w:ascii="SimSun" w:hAnsi="SimSun" w:eastAsia="SimSun" w:cs="SimSun"/>
                      <w:sz w:val="24"/>
                      <w:szCs w:val="24"/>
                    </w:rPr>
                  </w:pPr>
                  <w:r>
                    <w:rPr>
                      <w:rFonts w:ascii="SimSun" w:hAnsi="SimSun" w:eastAsia="SimSun" w:cs="SimSun"/>
                      <w:sz w:val="24"/>
                      <w:szCs w:val="24"/>
                      <w:b/>
                      <w:bCs/>
                      <w:spacing w:val="-3"/>
                    </w:rPr>
                    <w:t>恢复</w:t>
                  </w:r>
                  <w:r>
                    <w:rPr>
                      <w:rFonts w:ascii="SimSun" w:hAnsi="SimSun" w:eastAsia="SimSun" w:cs="SimSu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24"/>
                      <w:szCs w:val="24"/>
                      <w:b/>
                      <w:bCs/>
                      <w:spacing w:val="-6"/>
                    </w:rPr>
                    <w:t>审理</w:t>
                  </w:r>
                </w:p>
              </w:txbxContent>
            </v:textbox>
          </v:roundrect>
        </w:pict>
      </w:r>
      <w:r>
        <w:pict>
          <v:roundrect id="_x0000_s24" style="position:absolute;margin-left:235.952pt;margin-top:165.625pt;mso-position-vertical-relative:text;mso-position-horizontal-relative:text;width:198.5pt;height:43.25pt;z-index:251660288;" filled="false" strokecolor="#000000" strokeweight="1.50pt" arcsize="0.195965">
            <v:fill on="false"/>
            <v:stroke joinstyle="miter" miterlimit="0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1683"/>
                    <w:spacing w:before="90" w:line="226" w:lineRule="auto"/>
                    <w:rPr>
                      <w:rFonts w:ascii="SimSun" w:hAnsi="SimSun" w:eastAsia="SimSun" w:cs="SimSun"/>
                      <w:sz w:val="24"/>
                      <w:szCs w:val="24"/>
                    </w:rPr>
                  </w:pPr>
                  <w:r>
                    <w:rPr>
                      <w:rFonts w:ascii="SimSun" w:hAnsi="SimSun" w:eastAsia="SimSun" w:cs="SimSun"/>
                      <w:sz w:val="24"/>
                      <w:szCs w:val="24"/>
                      <w:b/>
                      <w:bCs/>
                      <w:spacing w:val="-3"/>
                    </w:rPr>
                    <w:t>决定</w:t>
                  </w:r>
                </w:p>
                <w:p>
                  <w:pPr>
                    <w:pStyle w:val="BodyText"/>
                    <w:ind w:left="242"/>
                    <w:spacing w:line="214" w:lineRule="auto"/>
                    <w:rPr/>
                  </w:pPr>
                  <w:r>
                    <w:rPr/>
                    <w:t>《行政复议法》第五章的规定。</w:t>
                  </w:r>
                </w:p>
              </w:txbxContent>
            </v:textbox>
          </v:roundrect>
        </w:pict>
      </w:r>
      <w:r>
        <w:drawing>
          <wp:anchor distT="0" distB="0" distL="0" distR="0" simplePos="0" relativeHeight="251669504" behindDoc="0" locked="0" layoutInCell="1" allowOverlap="1">
            <wp:simplePos x="0" y="0"/>
            <wp:positionH relativeFrom="column">
              <wp:posOffset>1113815</wp:posOffset>
            </wp:positionH>
            <wp:positionV relativeFrom="paragraph">
              <wp:posOffset>1420812</wp:posOffset>
            </wp:positionV>
            <wp:extent cx="495300" cy="171450"/>
            <wp:effectExtent l="0" t="0" r="0" b="0"/>
            <wp:wrapNone/>
            <wp:docPr id="16" name="IM 16"/>
            <wp:cNvGraphicFramePr/>
            <a:graphic>
              <a:graphicData uri="http://schemas.openxmlformats.org/drawingml/2006/picture">
                <pic:pic>
                  <pic:nvPicPr>
                    <pic:cNvPr id="16" name="IM 16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49530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7456" behindDoc="0" locked="0" layoutInCell="1" allowOverlap="1">
            <wp:simplePos x="0" y="0"/>
            <wp:positionH relativeFrom="column">
              <wp:posOffset>1113815</wp:posOffset>
            </wp:positionH>
            <wp:positionV relativeFrom="paragraph">
              <wp:posOffset>2249487</wp:posOffset>
            </wp:positionV>
            <wp:extent cx="609600" cy="171450"/>
            <wp:effectExtent l="0" t="0" r="0" b="0"/>
            <wp:wrapNone/>
            <wp:docPr id="18" name="IM 18"/>
            <wp:cNvGraphicFramePr/>
            <a:graphic>
              <a:graphicData uri="http://schemas.openxmlformats.org/drawingml/2006/picture">
                <pic:pic>
                  <pic:nvPicPr>
                    <pic:cNvPr id="18" name="IM 18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60960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73600" behindDoc="0" locked="0" layoutInCell="1" allowOverlap="1">
            <wp:simplePos x="0" y="0"/>
            <wp:positionH relativeFrom="column">
              <wp:posOffset>3190265</wp:posOffset>
            </wp:positionH>
            <wp:positionV relativeFrom="paragraph">
              <wp:posOffset>325437</wp:posOffset>
            </wp:positionV>
            <wp:extent cx="361950" cy="171450"/>
            <wp:effectExtent l="0" t="0" r="0" b="0"/>
            <wp:wrapNone/>
            <wp:docPr id="20" name="IM 20"/>
            <wp:cNvGraphicFramePr/>
            <a:graphic>
              <a:graphicData uri="http://schemas.openxmlformats.org/drawingml/2006/picture">
                <pic:pic>
                  <pic:nvPicPr>
                    <pic:cNvPr id="20" name="IM 20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3619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3360" behindDoc="0" locked="0" layoutInCell="1" allowOverlap="1">
            <wp:simplePos x="0" y="0"/>
            <wp:positionH relativeFrom="column">
              <wp:posOffset>2507767</wp:posOffset>
            </wp:positionH>
            <wp:positionV relativeFrom="paragraph">
              <wp:posOffset>744537</wp:posOffset>
            </wp:positionV>
            <wp:extent cx="1149222" cy="776224"/>
            <wp:effectExtent l="0" t="0" r="0" b="0"/>
            <wp:wrapNone/>
            <wp:docPr id="22" name="IM 22"/>
            <wp:cNvGraphicFramePr/>
            <a:graphic>
              <a:graphicData uri="http://schemas.openxmlformats.org/drawingml/2006/picture">
                <pic:pic>
                  <pic:nvPicPr>
                    <pic:cNvPr id="22" name="IM 22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149222" cy="7762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8480" behindDoc="0" locked="0" layoutInCell="1" allowOverlap="1">
            <wp:simplePos x="0" y="0"/>
            <wp:positionH relativeFrom="column">
              <wp:posOffset>2397150</wp:posOffset>
            </wp:positionH>
            <wp:positionV relativeFrom="paragraph">
              <wp:posOffset>2297112</wp:posOffset>
            </wp:positionV>
            <wp:extent cx="609600" cy="171449"/>
            <wp:effectExtent l="0" t="0" r="0" b="0"/>
            <wp:wrapNone/>
            <wp:docPr id="24" name="IM 24"/>
            <wp:cNvGraphicFramePr/>
            <a:graphic>
              <a:graphicData uri="http://schemas.openxmlformats.org/drawingml/2006/picture">
                <pic:pic>
                  <pic:nvPicPr>
                    <pic:cNvPr id="24" name="IM 24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609600" cy="1714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70528" behindDoc="0" locked="0" layoutInCell="1" allowOverlap="1">
            <wp:simplePos x="0" y="0"/>
            <wp:positionH relativeFrom="column">
              <wp:posOffset>4214901</wp:posOffset>
            </wp:positionH>
            <wp:positionV relativeFrom="paragraph">
              <wp:posOffset>752157</wp:posOffset>
            </wp:positionV>
            <wp:extent cx="171450" cy="401955"/>
            <wp:effectExtent l="0" t="0" r="0" b="0"/>
            <wp:wrapNone/>
            <wp:docPr id="26" name="IM 26"/>
            <wp:cNvGraphicFramePr/>
            <a:graphic>
              <a:graphicData uri="http://schemas.openxmlformats.org/drawingml/2006/picture">
                <pic:pic>
                  <pic:nvPicPr>
                    <pic:cNvPr id="26" name="IM 26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71450" cy="4019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74624" behindDoc="0" locked="0" layoutInCell="1" allowOverlap="1">
            <wp:simplePos x="0" y="0"/>
            <wp:positionH relativeFrom="column">
              <wp:posOffset>4190390</wp:posOffset>
            </wp:positionH>
            <wp:positionV relativeFrom="paragraph">
              <wp:posOffset>1792287</wp:posOffset>
            </wp:positionV>
            <wp:extent cx="171450" cy="323850"/>
            <wp:effectExtent l="0" t="0" r="0" b="0"/>
            <wp:wrapNone/>
            <wp:docPr id="28" name="IM 28"/>
            <wp:cNvGraphicFramePr/>
            <a:graphic>
              <a:graphicData uri="http://schemas.openxmlformats.org/drawingml/2006/picture">
                <pic:pic>
                  <pic:nvPicPr>
                    <pic:cNvPr id="28" name="IM 28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71450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position w:val="-89"/>
        </w:rPr>
        <w:pict>
          <v:roundrect id="_x0000_s26" style="mso-position-vertical-relative:line;mso-position-horizontal-relative:char;width:65.25pt;height:222.9pt;" filled="false" strokecolor="#000000" strokeweight="1.50pt" arcsize="0.185449">
            <v:fill on="false"/>
            <v:stroke joinstyle="miter" miterlimit="0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137" w:right="36" w:firstLine="200"/>
                    <w:spacing w:before="75" w:line="215" w:lineRule="auto"/>
                    <w:rPr>
                      <w:rFonts w:ascii="FangSong_GB2312" w:hAnsi="FangSong_GB2312" w:eastAsia="FangSong_GB2312" w:cs="FangSong_GB2312"/>
                      <w:sz w:val="24"/>
                      <w:szCs w:val="24"/>
                    </w:rPr>
                  </w:pPr>
                  <w:r>
                    <w:rPr>
                      <w:rFonts w:ascii="SimSun" w:hAnsi="SimSun" w:eastAsia="SimSun" w:cs="SimSun"/>
                      <w:sz w:val="24"/>
                      <w:szCs w:val="24"/>
                      <w:b/>
                      <w:bCs/>
                      <w:spacing w:val="-9"/>
                    </w:rPr>
                    <w:t>中止</w:t>
                  </w:r>
                  <w:r>
                    <w:rPr>
                      <w:rFonts w:ascii="SimSun" w:hAnsi="SimSun" w:eastAsia="SimSun" w:cs="SimSun"/>
                      <w:sz w:val="24"/>
                      <w:szCs w:val="24"/>
                    </w:rPr>
                    <w:t xml:space="preserve">   </w:t>
                  </w:r>
                  <w:r>
                    <w:rPr>
                      <w:rFonts w:ascii="FangSong_GB2312" w:hAnsi="FangSong_GB2312" w:eastAsia="FangSong_GB2312" w:cs="FangSong_GB2312"/>
                      <w:sz w:val="24"/>
                      <w:szCs w:val="24"/>
                      <w:spacing w:val="13"/>
                    </w:rPr>
                    <w:t>《</w:t>
                  </w:r>
                  <w:r>
                    <w:rPr>
                      <w:rFonts w:ascii="FangSong_GB2312" w:hAnsi="FangSong_GB2312" w:eastAsia="FangSong_GB2312" w:cs="FangSong_GB2312"/>
                      <w:sz w:val="24"/>
                      <w:szCs w:val="24"/>
                      <w:spacing w:val="-21"/>
                    </w:rPr>
                    <w:t xml:space="preserve"> </w:t>
                  </w:r>
                  <w:r>
                    <w:rPr>
                      <w:rFonts w:ascii="FangSong_GB2312" w:hAnsi="FangSong_GB2312" w:eastAsia="FangSong_GB2312" w:cs="FangSong_GB2312"/>
                      <w:sz w:val="24"/>
                      <w:szCs w:val="24"/>
                      <w:spacing w:val="13"/>
                    </w:rPr>
                    <w:t>行政</w:t>
                  </w:r>
                  <w:r>
                    <w:rPr>
                      <w:rFonts w:ascii="FangSong_GB2312" w:hAnsi="FangSong_GB2312" w:eastAsia="FangSong_GB2312" w:cs="FangSong_GB2312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FangSong_GB2312" w:hAnsi="FangSong_GB2312" w:eastAsia="FangSong_GB2312" w:cs="FangSong_GB2312"/>
                      <w:sz w:val="24"/>
                      <w:szCs w:val="24"/>
                    </w:rPr>
                    <w:t>复议法》</w:t>
                  </w:r>
                  <w:r>
                    <w:rPr>
                      <w:rFonts w:ascii="FangSong_GB2312" w:hAnsi="FangSong_GB2312" w:eastAsia="FangSong_GB2312" w:cs="FangSong_GB2312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FangSong_GB2312" w:hAnsi="FangSong_GB2312" w:eastAsia="FangSong_GB2312" w:cs="FangSong_GB2312"/>
                      <w:sz w:val="24"/>
                      <w:szCs w:val="24"/>
                      <w:spacing w:val="-16"/>
                    </w:rPr>
                    <w:t>第</w:t>
                  </w:r>
                  <w:r>
                    <w:rPr>
                      <w:rFonts w:ascii="FangSong_GB2312" w:hAnsi="FangSong_GB2312" w:eastAsia="FangSong_GB2312" w:cs="FangSong_GB2312"/>
                      <w:sz w:val="24"/>
                      <w:szCs w:val="24"/>
                      <w:spacing w:val="-24"/>
                    </w:rPr>
                    <w:t xml:space="preserve"> </w:t>
                  </w:r>
                  <w:r>
                    <w:rPr>
                      <w:rFonts w:ascii="FangSong_GB2312" w:hAnsi="FangSong_GB2312" w:eastAsia="FangSong_GB2312" w:cs="FangSong_GB2312"/>
                      <w:sz w:val="24"/>
                      <w:szCs w:val="24"/>
                      <w:spacing w:val="-16"/>
                    </w:rPr>
                    <w:t>三</w:t>
                  </w:r>
                  <w:r>
                    <w:rPr>
                      <w:rFonts w:ascii="FangSong_GB2312" w:hAnsi="FangSong_GB2312" w:eastAsia="FangSong_GB2312" w:cs="FangSong_GB2312"/>
                      <w:sz w:val="24"/>
                      <w:szCs w:val="24"/>
                      <w:spacing w:val="-30"/>
                    </w:rPr>
                    <w:t xml:space="preserve"> </w:t>
                  </w:r>
                  <w:r>
                    <w:rPr>
                      <w:rFonts w:ascii="FangSong_GB2312" w:hAnsi="FangSong_GB2312" w:eastAsia="FangSong_GB2312" w:cs="FangSong_GB2312"/>
                      <w:sz w:val="24"/>
                      <w:szCs w:val="24"/>
                      <w:spacing w:val="-16"/>
                    </w:rPr>
                    <w:t>十</w:t>
                  </w:r>
                  <w:r>
                    <w:rPr>
                      <w:rFonts w:ascii="FangSong_GB2312" w:hAnsi="FangSong_GB2312" w:eastAsia="FangSong_GB2312" w:cs="FangSong_GB2312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FangSong_GB2312" w:hAnsi="FangSong_GB2312" w:eastAsia="FangSong_GB2312" w:cs="FangSong_GB2312"/>
                      <w:sz w:val="24"/>
                      <w:szCs w:val="24"/>
                      <w:spacing w:val="-10"/>
                    </w:rPr>
                    <w:t>九</w:t>
                  </w:r>
                  <w:r>
                    <w:rPr>
                      <w:rFonts w:ascii="FangSong_GB2312" w:hAnsi="FangSong_GB2312" w:eastAsia="FangSong_GB2312" w:cs="FangSong_GB2312"/>
                      <w:sz w:val="24"/>
                      <w:szCs w:val="24"/>
                      <w:spacing w:val="-39"/>
                    </w:rPr>
                    <w:t xml:space="preserve"> </w:t>
                  </w:r>
                  <w:r>
                    <w:rPr>
                      <w:rFonts w:ascii="FangSong_GB2312" w:hAnsi="FangSong_GB2312" w:eastAsia="FangSong_GB2312" w:cs="FangSong_GB2312"/>
                      <w:sz w:val="24"/>
                      <w:szCs w:val="24"/>
                      <w:spacing w:val="-10"/>
                    </w:rPr>
                    <w:t>条</w:t>
                  </w:r>
                  <w:r>
                    <w:rPr>
                      <w:rFonts w:ascii="FangSong_GB2312" w:hAnsi="FangSong_GB2312" w:eastAsia="FangSong_GB2312" w:cs="FangSong_GB2312"/>
                      <w:sz w:val="24"/>
                      <w:szCs w:val="24"/>
                      <w:spacing w:val="-33"/>
                    </w:rPr>
                    <w:t xml:space="preserve"> </w:t>
                  </w:r>
                  <w:r>
                    <w:rPr>
                      <w:rFonts w:ascii="FangSong_GB2312" w:hAnsi="FangSong_GB2312" w:eastAsia="FangSong_GB2312" w:cs="FangSong_GB2312"/>
                      <w:sz w:val="24"/>
                      <w:szCs w:val="24"/>
                      <w:spacing w:val="-10"/>
                    </w:rPr>
                    <w:t>规</w:t>
                  </w:r>
                  <w:r>
                    <w:rPr>
                      <w:rFonts w:ascii="FangSong_GB2312" w:hAnsi="FangSong_GB2312" w:eastAsia="FangSong_GB2312" w:cs="FangSong_GB2312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FangSong_GB2312" w:hAnsi="FangSong_GB2312" w:eastAsia="FangSong_GB2312" w:cs="FangSong_GB2312"/>
                      <w:sz w:val="24"/>
                      <w:szCs w:val="24"/>
                      <w:spacing w:val="-17"/>
                    </w:rPr>
                    <w:t>定</w:t>
                  </w:r>
                  <w:r>
                    <w:rPr>
                      <w:rFonts w:ascii="FangSong_GB2312" w:hAnsi="FangSong_GB2312" w:eastAsia="FangSong_GB2312" w:cs="FangSong_GB2312"/>
                      <w:sz w:val="24"/>
                      <w:szCs w:val="24"/>
                      <w:spacing w:val="-20"/>
                    </w:rPr>
                    <w:t xml:space="preserve"> </w:t>
                  </w:r>
                  <w:r>
                    <w:rPr>
                      <w:rFonts w:ascii="FangSong_GB2312" w:hAnsi="FangSong_GB2312" w:eastAsia="FangSong_GB2312" w:cs="FangSong_GB2312"/>
                      <w:sz w:val="24"/>
                      <w:szCs w:val="24"/>
                      <w:spacing w:val="-17"/>
                    </w:rPr>
                    <w:t>的</w:t>
                  </w:r>
                  <w:r>
                    <w:rPr>
                      <w:rFonts w:ascii="FangSong_GB2312" w:hAnsi="FangSong_GB2312" w:eastAsia="FangSong_GB2312" w:cs="FangSong_GB2312"/>
                      <w:sz w:val="24"/>
                      <w:szCs w:val="24"/>
                      <w:spacing w:val="-31"/>
                    </w:rPr>
                    <w:t xml:space="preserve"> </w:t>
                  </w:r>
                  <w:r>
                    <w:rPr>
                      <w:rFonts w:ascii="FangSong_GB2312" w:hAnsi="FangSong_GB2312" w:eastAsia="FangSong_GB2312" w:cs="FangSong_GB2312"/>
                      <w:sz w:val="24"/>
                      <w:szCs w:val="24"/>
                      <w:spacing w:val="-17"/>
                    </w:rPr>
                    <w:t>情</w:t>
                  </w:r>
                  <w:r>
                    <w:rPr>
                      <w:rFonts w:ascii="FangSong_GB2312" w:hAnsi="FangSong_GB2312" w:eastAsia="FangSong_GB2312" w:cs="FangSong_GB2312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FangSong_GB2312" w:hAnsi="FangSong_GB2312" w:eastAsia="FangSong_GB2312" w:cs="FangSong_GB2312"/>
                      <w:sz w:val="24"/>
                      <w:szCs w:val="24"/>
                      <w:spacing w:val="-26"/>
                    </w:rPr>
                    <w:t>形。行政</w:t>
                  </w:r>
                  <w:r>
                    <w:rPr>
                      <w:rFonts w:ascii="FangSong_GB2312" w:hAnsi="FangSong_GB2312" w:eastAsia="FangSong_GB2312" w:cs="FangSong_GB2312"/>
                      <w:sz w:val="24"/>
                      <w:szCs w:val="24"/>
                      <w:spacing w:val="1"/>
                    </w:rPr>
                    <w:t xml:space="preserve">  </w:t>
                  </w:r>
                  <w:r>
                    <w:rPr>
                      <w:rFonts w:ascii="FangSong_GB2312" w:hAnsi="FangSong_GB2312" w:eastAsia="FangSong_GB2312" w:cs="FangSong_GB2312"/>
                      <w:sz w:val="24"/>
                      <w:szCs w:val="24"/>
                      <w:spacing w:val="-6"/>
                    </w:rPr>
                    <w:t>复</w:t>
                  </w:r>
                  <w:r>
                    <w:rPr>
                      <w:rFonts w:ascii="FangSong_GB2312" w:hAnsi="FangSong_GB2312" w:eastAsia="FangSong_GB2312" w:cs="FangSong_GB2312"/>
                      <w:sz w:val="24"/>
                      <w:szCs w:val="24"/>
                      <w:spacing w:val="-41"/>
                    </w:rPr>
                    <w:t xml:space="preserve"> </w:t>
                  </w:r>
                  <w:r>
                    <w:rPr>
                      <w:rFonts w:ascii="FangSong_GB2312" w:hAnsi="FangSong_GB2312" w:eastAsia="FangSong_GB2312" w:cs="FangSong_GB2312"/>
                      <w:sz w:val="24"/>
                      <w:szCs w:val="24"/>
                      <w:spacing w:val="-6"/>
                    </w:rPr>
                    <w:t>议</w:t>
                  </w:r>
                  <w:r>
                    <w:rPr>
                      <w:rFonts w:ascii="FangSong_GB2312" w:hAnsi="FangSong_GB2312" w:eastAsia="FangSong_GB2312" w:cs="FangSong_GB2312"/>
                      <w:sz w:val="24"/>
                      <w:szCs w:val="24"/>
                      <w:spacing w:val="-43"/>
                    </w:rPr>
                    <w:t xml:space="preserve"> </w:t>
                  </w:r>
                  <w:r>
                    <w:rPr>
                      <w:rFonts w:ascii="FangSong_GB2312" w:hAnsi="FangSong_GB2312" w:eastAsia="FangSong_GB2312" w:cs="FangSong_GB2312"/>
                      <w:sz w:val="24"/>
                      <w:szCs w:val="24"/>
                      <w:spacing w:val="-6"/>
                    </w:rPr>
                    <w:t>机</w:t>
                  </w:r>
                  <w:r>
                    <w:rPr>
                      <w:rFonts w:ascii="FangSong_GB2312" w:hAnsi="FangSong_GB2312" w:eastAsia="FangSong_GB2312" w:cs="FangSong_GB2312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FangSong_GB2312" w:hAnsi="FangSong_GB2312" w:eastAsia="FangSong_GB2312" w:cs="FangSong_GB2312"/>
                      <w:sz w:val="24"/>
                      <w:szCs w:val="24"/>
                    </w:rPr>
                    <w:t>关中止、</w:t>
                  </w:r>
                  <w:r>
                    <w:rPr>
                      <w:rFonts w:ascii="FangSong_GB2312" w:hAnsi="FangSong_GB2312" w:eastAsia="FangSong_GB2312" w:cs="FangSong_GB2312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FangSong_GB2312" w:hAnsi="FangSong_GB2312" w:eastAsia="FangSong_GB2312" w:cs="FangSong_GB2312"/>
                      <w:sz w:val="24"/>
                      <w:szCs w:val="24"/>
                      <w:spacing w:val="-7"/>
                    </w:rPr>
                    <w:t>恢</w:t>
                  </w:r>
                  <w:r>
                    <w:rPr>
                      <w:rFonts w:ascii="FangSong_GB2312" w:hAnsi="FangSong_GB2312" w:eastAsia="FangSong_GB2312" w:cs="FangSong_GB2312"/>
                      <w:sz w:val="24"/>
                      <w:szCs w:val="24"/>
                      <w:spacing w:val="-30"/>
                    </w:rPr>
                    <w:t xml:space="preserve"> </w:t>
                  </w:r>
                  <w:r>
                    <w:rPr>
                      <w:rFonts w:ascii="FangSong_GB2312" w:hAnsi="FangSong_GB2312" w:eastAsia="FangSong_GB2312" w:cs="FangSong_GB2312"/>
                      <w:sz w:val="24"/>
                      <w:szCs w:val="24"/>
                      <w:spacing w:val="-7"/>
                    </w:rPr>
                    <w:t>复</w:t>
                  </w:r>
                  <w:r>
                    <w:rPr>
                      <w:rFonts w:ascii="FangSong_GB2312" w:hAnsi="FangSong_GB2312" w:eastAsia="FangSong_GB2312" w:cs="FangSong_GB2312"/>
                      <w:sz w:val="24"/>
                      <w:szCs w:val="24"/>
                      <w:spacing w:val="-36"/>
                    </w:rPr>
                    <w:t xml:space="preserve"> </w:t>
                  </w:r>
                  <w:r>
                    <w:rPr>
                      <w:rFonts w:ascii="FangSong_GB2312" w:hAnsi="FangSong_GB2312" w:eastAsia="FangSong_GB2312" w:cs="FangSong_GB2312"/>
                      <w:sz w:val="24"/>
                      <w:szCs w:val="24"/>
                      <w:spacing w:val="-7"/>
                    </w:rPr>
                    <w:t>案</w:t>
                  </w:r>
                </w:p>
                <w:p>
                  <w:pPr>
                    <w:ind w:left="147" w:right="136" w:hanging="4"/>
                    <w:spacing w:before="2" w:line="217" w:lineRule="auto"/>
                    <w:jc w:val="both"/>
                    <w:rPr>
                      <w:rFonts w:ascii="FangSong_GB2312" w:hAnsi="FangSong_GB2312" w:eastAsia="FangSong_GB2312" w:cs="FangSong_GB2312"/>
                      <w:sz w:val="24"/>
                      <w:szCs w:val="24"/>
                    </w:rPr>
                  </w:pPr>
                  <w:r>
                    <w:rPr>
                      <w:rFonts w:ascii="FangSong_GB2312" w:hAnsi="FangSong_GB2312" w:eastAsia="FangSong_GB2312" w:cs="FangSong_GB2312"/>
                      <w:sz w:val="24"/>
                      <w:szCs w:val="24"/>
                      <w:spacing w:val="-21"/>
                    </w:rPr>
                    <w:t>件</w:t>
                  </w:r>
                  <w:r>
                    <w:rPr>
                      <w:rFonts w:ascii="FangSong_GB2312" w:hAnsi="FangSong_GB2312" w:eastAsia="FangSong_GB2312" w:cs="FangSong_GB2312"/>
                      <w:sz w:val="24"/>
                      <w:szCs w:val="24"/>
                      <w:spacing w:val="-21"/>
                    </w:rPr>
                    <w:t xml:space="preserve"> </w:t>
                  </w:r>
                  <w:r>
                    <w:rPr>
                      <w:rFonts w:ascii="FangSong_GB2312" w:hAnsi="FangSong_GB2312" w:eastAsia="FangSong_GB2312" w:cs="FangSong_GB2312"/>
                      <w:sz w:val="24"/>
                      <w:szCs w:val="24"/>
                      <w:spacing w:val="-21"/>
                    </w:rPr>
                    <w:t>的</w:t>
                  </w:r>
                  <w:r>
                    <w:rPr>
                      <w:rFonts w:ascii="FangSong_GB2312" w:hAnsi="FangSong_GB2312" w:eastAsia="FangSong_GB2312" w:cs="FangSong_GB2312"/>
                      <w:sz w:val="24"/>
                      <w:szCs w:val="24"/>
                      <w:spacing w:val="-25"/>
                    </w:rPr>
                    <w:t xml:space="preserve"> </w:t>
                  </w:r>
                  <w:r>
                    <w:rPr>
                      <w:rFonts w:ascii="FangSong_GB2312" w:hAnsi="FangSong_GB2312" w:eastAsia="FangSong_GB2312" w:cs="FangSong_GB2312"/>
                      <w:sz w:val="24"/>
                      <w:szCs w:val="24"/>
                      <w:spacing w:val="-21"/>
                    </w:rPr>
                    <w:t>审</w:t>
                  </w:r>
                  <w:r>
                    <w:rPr>
                      <w:rFonts w:ascii="FangSong_GB2312" w:hAnsi="FangSong_GB2312" w:eastAsia="FangSong_GB2312" w:cs="FangSong_GB2312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FangSong_GB2312" w:hAnsi="FangSong_GB2312" w:eastAsia="FangSong_GB2312" w:cs="FangSong_GB2312"/>
                      <w:sz w:val="24"/>
                      <w:szCs w:val="24"/>
                      <w:spacing w:val="-20"/>
                    </w:rPr>
                    <w:t>理</w:t>
                  </w:r>
                  <w:r>
                    <w:rPr>
                      <w:rFonts w:ascii="FangSong_GB2312" w:hAnsi="FangSong_GB2312" w:eastAsia="FangSong_GB2312" w:cs="FangSong_GB2312"/>
                      <w:sz w:val="24"/>
                      <w:szCs w:val="24"/>
                      <w:spacing w:val="-34"/>
                    </w:rPr>
                    <w:t xml:space="preserve"> </w:t>
                  </w:r>
                  <w:r>
                    <w:rPr>
                      <w:rFonts w:ascii="FangSong_GB2312" w:hAnsi="FangSong_GB2312" w:eastAsia="FangSong_GB2312" w:cs="FangSong_GB2312"/>
                      <w:sz w:val="24"/>
                      <w:szCs w:val="24"/>
                      <w:spacing w:val="-20"/>
                    </w:rPr>
                    <w:t>应</w:t>
                  </w:r>
                  <w:r>
                    <w:rPr>
                      <w:rFonts w:ascii="FangSong_GB2312" w:hAnsi="FangSong_GB2312" w:eastAsia="FangSong_GB2312" w:cs="FangSong_GB2312"/>
                      <w:sz w:val="24"/>
                      <w:szCs w:val="24"/>
                      <w:spacing w:val="-20"/>
                    </w:rPr>
                    <w:t xml:space="preserve"> </w:t>
                  </w:r>
                  <w:r>
                    <w:rPr>
                      <w:rFonts w:ascii="FangSong_GB2312" w:hAnsi="FangSong_GB2312" w:eastAsia="FangSong_GB2312" w:cs="FangSong_GB2312"/>
                      <w:sz w:val="24"/>
                      <w:szCs w:val="24"/>
                      <w:spacing w:val="-20"/>
                    </w:rPr>
                    <w:t>当</w:t>
                  </w:r>
                  <w:r>
                    <w:rPr>
                      <w:rFonts w:ascii="FangSong_GB2312" w:hAnsi="FangSong_GB2312" w:eastAsia="FangSong_GB2312" w:cs="FangSong_GB2312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FangSong_GB2312" w:hAnsi="FangSong_GB2312" w:eastAsia="FangSong_GB2312" w:cs="FangSong_GB2312"/>
                      <w:sz w:val="24"/>
                      <w:szCs w:val="24"/>
                      <w:spacing w:val="-16"/>
                    </w:rPr>
                    <w:t>书</w:t>
                  </w:r>
                  <w:r>
                    <w:rPr>
                      <w:rFonts w:ascii="FangSong_GB2312" w:hAnsi="FangSong_GB2312" w:eastAsia="FangSong_GB2312" w:cs="FangSong_GB2312"/>
                      <w:sz w:val="24"/>
                      <w:szCs w:val="24"/>
                      <w:spacing w:val="-31"/>
                    </w:rPr>
                    <w:t xml:space="preserve"> </w:t>
                  </w:r>
                  <w:r>
                    <w:rPr>
                      <w:rFonts w:ascii="FangSong_GB2312" w:hAnsi="FangSong_GB2312" w:eastAsia="FangSong_GB2312" w:cs="FangSong_GB2312"/>
                      <w:sz w:val="24"/>
                      <w:szCs w:val="24"/>
                      <w:spacing w:val="-16"/>
                    </w:rPr>
                    <w:t>面</w:t>
                  </w:r>
                  <w:r>
                    <w:rPr>
                      <w:rFonts w:ascii="FangSong_GB2312" w:hAnsi="FangSong_GB2312" w:eastAsia="FangSong_GB2312" w:cs="FangSong_GB2312"/>
                      <w:sz w:val="24"/>
                      <w:szCs w:val="24"/>
                      <w:spacing w:val="-34"/>
                    </w:rPr>
                    <w:t xml:space="preserve"> </w:t>
                  </w:r>
                  <w:r>
                    <w:rPr>
                      <w:rFonts w:ascii="FangSong_GB2312" w:hAnsi="FangSong_GB2312" w:eastAsia="FangSong_GB2312" w:cs="FangSong_GB2312"/>
                      <w:sz w:val="24"/>
                      <w:szCs w:val="24"/>
                      <w:spacing w:val="-16"/>
                    </w:rPr>
                    <w:t>告</w:t>
                  </w:r>
                  <w:r>
                    <w:rPr>
                      <w:rFonts w:ascii="FangSong_GB2312" w:hAnsi="FangSong_GB2312" w:eastAsia="FangSong_GB2312" w:cs="FangSong_GB2312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FangSong_GB2312" w:hAnsi="FangSong_GB2312" w:eastAsia="FangSong_GB2312" w:cs="FangSong_GB2312"/>
                      <w:sz w:val="24"/>
                      <w:szCs w:val="24"/>
                      <w:spacing w:val="-20"/>
                    </w:rPr>
                    <w:t>知</w:t>
                  </w:r>
                  <w:r>
                    <w:rPr>
                      <w:rFonts w:ascii="FangSong_GB2312" w:hAnsi="FangSong_GB2312" w:eastAsia="FangSong_GB2312" w:cs="FangSong_GB2312"/>
                      <w:sz w:val="24"/>
                      <w:szCs w:val="24"/>
                      <w:spacing w:val="-20"/>
                    </w:rPr>
                    <w:t xml:space="preserve"> </w:t>
                  </w:r>
                  <w:r>
                    <w:rPr>
                      <w:rFonts w:ascii="FangSong_GB2312" w:hAnsi="FangSong_GB2312" w:eastAsia="FangSong_GB2312" w:cs="FangSong_GB2312"/>
                      <w:sz w:val="24"/>
                      <w:szCs w:val="24"/>
                      <w:spacing w:val="-20"/>
                    </w:rPr>
                    <w:t>当</w:t>
                  </w:r>
                  <w:r>
                    <w:rPr>
                      <w:rFonts w:ascii="FangSong_GB2312" w:hAnsi="FangSong_GB2312" w:eastAsia="FangSong_GB2312" w:cs="FangSong_GB2312"/>
                      <w:sz w:val="24"/>
                      <w:szCs w:val="24"/>
                      <w:spacing w:val="-34"/>
                    </w:rPr>
                    <w:t xml:space="preserve"> </w:t>
                  </w:r>
                  <w:r>
                    <w:rPr>
                      <w:rFonts w:ascii="FangSong_GB2312" w:hAnsi="FangSong_GB2312" w:eastAsia="FangSong_GB2312" w:cs="FangSong_GB2312"/>
                      <w:sz w:val="24"/>
                      <w:szCs w:val="24"/>
                      <w:spacing w:val="-20"/>
                    </w:rPr>
                    <w:t>事</w:t>
                  </w:r>
                  <w:r>
                    <w:rPr>
                      <w:rFonts w:ascii="FangSong_GB2312" w:hAnsi="FangSong_GB2312" w:eastAsia="FangSong_GB2312" w:cs="FangSong_GB2312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FangSong_GB2312" w:hAnsi="FangSong_GB2312" w:eastAsia="FangSong_GB2312" w:cs="FangSong_GB2312"/>
                      <w:sz w:val="24"/>
                      <w:szCs w:val="24"/>
                      <w:spacing w:val="-6"/>
                    </w:rPr>
                    <w:t>人。</w:t>
                  </w:r>
                </w:p>
              </w:txbxContent>
            </v:textbox>
          </v:roundrect>
        </w:pict>
      </w:r>
    </w:p>
    <w:sectPr>
      <w:pgSz w:w="11907" w:h="16839"/>
      <w:pgMar w:top="835" w:right="1421" w:bottom="0" w:left="1785" w:header="0" w:footer="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BodyText">
    <w:name w:val="Body Text"/>
    <w:basedOn w:val="Normal"/>
    <w:semiHidden/>
    <w:qFormat/>
    <w:pPr/>
    <w:rPr>
      <w:rFonts w:ascii="FangSong_GB2312" w:hAnsi="FangSong_GB2312" w:eastAsia="FangSong_GB2312" w:cs="FangSong_GB2312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9.png"/><Relationship Id="rId8" Type="http://schemas.openxmlformats.org/officeDocument/2006/relationships/image" Target="media/image8.png"/><Relationship Id="rId7" Type="http://schemas.openxmlformats.org/officeDocument/2006/relationships/image" Target="media/image7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7" Type="http://schemas.openxmlformats.org/officeDocument/2006/relationships/fontTable" Target="fontTable.xml"/><Relationship Id="rId16" Type="http://schemas.openxmlformats.org/officeDocument/2006/relationships/styles" Target="styles.xml"/><Relationship Id="rId15" Type="http://schemas.openxmlformats.org/officeDocument/2006/relationships/settings" Target="settings.xml"/><Relationship Id="rId14" Type="http://schemas.openxmlformats.org/officeDocument/2006/relationships/image" Target="media/image14.png"/><Relationship Id="rId13" Type="http://schemas.openxmlformats.org/officeDocument/2006/relationships/image" Target="media/image13.png"/><Relationship Id="rId12" Type="http://schemas.openxmlformats.org/officeDocument/2006/relationships/image" Target="media/image12.png"/><Relationship Id="rId11" Type="http://schemas.openxmlformats.org/officeDocument/2006/relationships/image" Target="media/image11.png"/><Relationship Id="rId10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Microsoft® Word 2013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dcterms:created xsi:type="dcterms:W3CDTF">2024-01-02T09:35:57Z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2024-06-28T18:17:36</vt:filetime>
  </property>
</Properties>
</file>