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行政处罚类—</w:t>
      </w:r>
      <w:r>
        <w:rPr>
          <w:rFonts w:hint="eastAsia" w:ascii="楷体_GB2312" w:hAnsi="楷体" w:eastAsia="楷体_GB2312"/>
          <w:sz w:val="36"/>
          <w:szCs w:val="36"/>
          <w:lang w:eastAsia="zh-CN"/>
        </w:rPr>
        <w:t>永和</w:t>
      </w:r>
      <w:r>
        <w:rPr>
          <w:rFonts w:hint="eastAsia" w:ascii="楷体_GB2312" w:hAnsi="楷体" w:eastAsia="楷体_GB2312"/>
          <w:sz w:val="36"/>
          <w:szCs w:val="36"/>
        </w:rPr>
        <w:t>县应急管理局对生产经营单位的决策机构、主要负责人、个人经营的投资人不依照安全生产法规定保证安全生产所必须的资金投入，致使生产经营单位不具备安全生产条件的处罚职权运行流程图</w:t>
      </w:r>
    </w:p>
    <w:p>
      <w:pPr>
        <w:rPr>
          <w:rFonts w:ascii="楷体_GB2312" w:eastAsia="楷体_GB2312"/>
          <w:lang w:val="zh-CN"/>
        </w:rPr>
      </w:pPr>
      <w:r>
        <w:rPr>
          <w:rFonts w:ascii="楷体_GB2312" w:eastAsia="楷体_GB2312"/>
        </w:rP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rPr>
          <w:rFonts w:ascii="楷体_GB2312" w:eastAsia="楷体_GB2312"/>
        </w:rP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rPr>
          <w:rFonts w:ascii="楷体_GB2312" w:eastAsia="楷体_GB2312"/>
        </w:rP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rPr>
          <w:rFonts w:ascii="楷体_GB2312" w:eastAsia="楷体_GB2312"/>
        </w:rP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rPr>
          <w:rFonts w:ascii="楷体_GB2312" w:eastAsia="楷体_GB2312"/>
        </w:rP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rPr>
          <w:rFonts w:ascii="楷体_GB2312" w:eastAsia="楷体_GB2312"/>
        </w:rP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rPr>
          <w:rFonts w:ascii="楷体_GB2312" w:eastAsia="楷体_GB2312"/>
        </w:rP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rPr>
          <w:rFonts w:ascii="楷体_GB2312" w:eastAsia="楷体_GB2312"/>
        </w:rP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rPr>
          <w:rFonts w:ascii="楷体_GB2312" w:eastAsia="楷体_GB2312"/>
        </w:rP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rPr>
          <w:rFonts w:ascii="楷体_GB2312" w:eastAsia="楷体_GB2312"/>
        </w:rP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rPr>
          <w:rFonts w:ascii="楷体_GB2312" w:eastAsia="楷体_GB2312"/>
        </w:rP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rPr>
          <w:rFonts w:ascii="楷体_GB2312" w:eastAsia="楷体_GB2312"/>
        </w:rP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rPr>
          <w:rFonts w:ascii="楷体_GB2312" w:eastAsia="楷体_GB2312"/>
        </w:rP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rPr>
          <w:rFonts w:ascii="楷体_GB2312" w:eastAsia="楷体_GB2312"/>
        </w:rP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rPr>
          <w:rFonts w:ascii="楷体_GB2312" w:eastAsia="楷体_GB2312"/>
        </w:rP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rPr>
          <w:rFonts w:ascii="楷体_GB2312" w:eastAsia="楷体_GB2312"/>
        </w:rP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rPr>
          <w:rFonts w:ascii="楷体_GB2312" w:eastAsia="楷体_GB2312"/>
        </w:rP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rPr>
          <w:rFonts w:ascii="楷体_GB2312" w:eastAsia="楷体_GB2312"/>
        </w:rP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rPr>
          <w:rFonts w:ascii="楷体_GB2312" w:eastAsia="楷体_GB2312"/>
        </w:rP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rPr>
          <w:rFonts w:ascii="楷体_GB2312" w:eastAsia="楷体_GB2312"/>
        </w:rP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rPr>
          <w:rFonts w:ascii="楷体_GB2312" w:eastAsia="楷体_GB2312"/>
        </w:rP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rPr>
          <w:rFonts w:ascii="楷体_GB2312" w:eastAsia="楷体_GB2312"/>
        </w:rP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rPr>
          <w:rFonts w:ascii="楷体_GB2312" w:eastAsia="楷体_GB2312"/>
        </w:rP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rPr>
          <w:rFonts w:ascii="楷体_GB2312" w:eastAsia="楷体_GB2312"/>
        </w:rP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rPr>
          <w:rFonts w:ascii="楷体_GB2312" w:eastAsia="楷体_GB2312"/>
        </w:rP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rPr>
          <w:rFonts w:ascii="楷体_GB2312" w:eastAsia="楷体_GB2312"/>
        </w:rP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rPr>
          <w:rFonts w:ascii="楷体_GB2312" w:eastAsia="楷体_GB2312"/>
        </w:rP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rPr>
          <w:rFonts w:ascii="楷体_GB2312" w:eastAsia="楷体_GB2312"/>
        </w:rP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rPr>
          <w:rFonts w:ascii="楷体_GB2312" w:eastAsia="楷体_GB2312"/>
        </w:rP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rPr>
          <w:rFonts w:ascii="楷体_GB2312" w:eastAsia="楷体_GB2312"/>
        </w:rP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rPr>
          <w:rFonts w:ascii="楷体_GB2312" w:eastAsia="楷体_GB2312"/>
        </w:rP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rPr>
          <w:rFonts w:ascii="楷体_GB2312" w:eastAsia="楷体_GB2312"/>
        </w:rP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rPr>
          <w:rFonts w:ascii="楷体_GB2312" w:eastAsia="楷体_GB2312"/>
        </w:rP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rPr>
          <w:rFonts w:ascii="楷体_GB2312" w:eastAsia="楷体_GB2312"/>
        </w:rP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rPr>
          <w:rFonts w:ascii="楷体_GB2312" w:eastAsia="楷体_GB2312"/>
        </w:rP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rPr>
          <w:rFonts w:ascii="楷体_GB2312" w:eastAsia="楷体_GB2312"/>
        </w:rP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rPr>
          <w:rFonts w:ascii="楷体_GB2312" w:eastAsia="楷体_GB2312"/>
        </w:rP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rPr>
          <w:rFonts w:ascii="楷体_GB2312" w:eastAsia="楷体_GB2312"/>
        </w:rP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rPr>
          <w:rFonts w:ascii="楷体_GB2312" w:eastAsia="楷体_GB2312"/>
        </w:rP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rPr>
          <w:rFonts w:ascii="楷体_GB2312" w:eastAsia="楷体_GB2312"/>
        </w:rP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rPr>
          <w:rFonts w:ascii="楷体_GB2312" w:eastAsia="楷体_GB2312"/>
        </w:rP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rPr>
          <w:rFonts w:ascii="楷体_GB2312" w:eastAsia="楷体_GB2312"/>
        </w:rP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rPr>
          <w:rFonts w:ascii="楷体_GB2312" w:eastAsia="楷体_GB2312"/>
        </w:rP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rPr>
          <w:rFonts w:ascii="楷体_GB2312" w:eastAsia="楷体_GB2312"/>
        </w:rP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rPr>
          <w:rFonts w:ascii="楷体_GB2312" w:eastAsia="楷体_GB2312"/>
        </w:rP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rPr>
          <w:rFonts w:ascii="楷体_GB2312" w:eastAsia="楷体_GB2312"/>
        </w:rP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rPr>
          <w:rFonts w:ascii="楷体_GB2312" w:eastAsia="楷体_GB2312"/>
        </w:rP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rPr>
          <w:rFonts w:ascii="楷体_GB2312" w:eastAsia="楷体_GB2312"/>
        </w:rP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rPr>
          <w:rFonts w:ascii="楷体_GB2312" w:eastAsia="楷体_GB2312"/>
        </w:rP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rPr>
          <w:rFonts w:ascii="楷体_GB2312" w:eastAsia="楷体_GB2312"/>
        </w:rP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rPr>
          <w:rFonts w:ascii="楷体_GB2312" w:eastAsia="楷体_GB2312"/>
        </w:rP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rPr>
          <w:rFonts w:ascii="楷体_GB2312" w:eastAsia="楷体_GB2312"/>
        </w:rP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rPr>
          <w:rFonts w:ascii="楷体_GB2312" w:eastAsia="楷体_GB2312"/>
        </w:rP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rPr>
          <w:rFonts w:ascii="楷体_GB2312" w:eastAsia="楷体_GB2312"/>
        </w:rP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rPr>
          <w:rFonts w:ascii="楷体_GB2312" w:eastAsia="楷体_GB2312"/>
        </w:rP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rPr>
          <w:rFonts w:ascii="楷体_GB2312" w:eastAsia="楷体_GB2312"/>
        </w:rP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rPr>
          <w:rFonts w:ascii="楷体_GB2312" w:eastAsia="楷体_GB2312"/>
        </w:rP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rPr>
          <w:rFonts w:ascii="楷体_GB2312" w:eastAsia="楷体_GB2312"/>
        </w:rP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rPr>
          <w:rFonts w:ascii="楷体_GB2312" w:eastAsia="楷体_GB2312"/>
        </w:rP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rPr>
          <w:rFonts w:ascii="楷体_GB2312" w:eastAsia="楷体_GB2312"/>
        </w:rP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rPr>
          <w:rFonts w:ascii="楷体_GB2312" w:eastAsia="楷体_GB2312"/>
        </w:rP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0.8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56.5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rPr>
                      <w:rFonts w:ascii="黑体" w:hAnsi="黑体" w:eastAsia="黑体" w:cs="黑体"/>
                      <w:szCs w:val="21"/>
                    </w:rPr>
                  </w:pPr>
                  <w:r>
                    <w:rPr>
                      <w:rFonts w:ascii="黑体" w:hAnsi="黑体" w:eastAsia="黑体" w:cs="黑体"/>
                      <w:szCs w:val="21"/>
                    </w:rPr>
                    <w:t xml:space="preserve">    </w:t>
                  </w:r>
                </w:p>
                <w:p>
                  <w:pPr>
                    <w:snapToGrid w:val="0"/>
                    <w:ind w:firstLine="420" w:firstLineChars="200"/>
                    <w:rPr>
                      <w:rFonts w:ascii="黑体" w:hAnsi="黑体" w:eastAsia="黑体" w:cs="黑体"/>
                      <w:szCs w:val="21"/>
                    </w:rPr>
                  </w:pP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hint="default" w:ascii="黑体" w:hAnsi="黑体" w:eastAsia="黑体" w:cs="黑体"/>
                      <w:szCs w:val="21"/>
                      <w:lang w:val="en-US" w:eastAsia="zh-CN"/>
                    </w:rPr>
                  </w:pPr>
                  <w:r>
                    <w:rPr>
                      <w:rFonts w:hint="eastAsia" w:ascii="黑体" w:hAnsi="黑体" w:eastAsia="黑体" w:cs="黑体"/>
                      <w:szCs w:val="21"/>
                      <w:lang w:val="en-US" w:eastAsia="zh-CN"/>
                    </w:rPr>
                    <w:t xml:space="preserve">    </w:t>
                  </w:r>
                </w:p>
              </w:txbxContent>
            </v:textbox>
          </v:shape>
        </w:pict>
      </w:r>
    </w:p>
    <w:p>
      <w:pPr>
        <w:snapToGrid w:val="0"/>
        <w:rPr>
          <w:rFonts w:ascii="黑体" w:hAnsi="黑体" w:eastAsia="黑体" w:cs="黑体"/>
          <w:szCs w:val="21"/>
          <w:lang w:val="zh-CN"/>
        </w:rPr>
      </w:pPr>
      <w:bookmarkStart w:id="0" w:name="_GoBack"/>
      <w:bookmarkEnd w:id="0"/>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_GB2312" w:hAnsi="楷体" w:eastAsia="楷体_GB2312" w:cs="方正仿宋简体"/>
          <w:bCs/>
          <w:spacing w:val="-20"/>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pacing w:val="-20"/>
          <w:sz w:val="36"/>
          <w:szCs w:val="36"/>
        </w:rPr>
        <w:t>对生产经营单位的决策机构、主要负责人、个人经营的投资人不依照安全生产法规定保证安全生产所必须的资金投入，致使生产经营单位不具备安全生产条件的处罚廉政风险防控图</w:t>
      </w:r>
    </w:p>
    <w:p>
      <w:pPr>
        <w:spacing w:line="440" w:lineRule="exact"/>
        <w:jc w:val="center"/>
        <w:rPr>
          <w:b/>
          <w:bCs/>
          <w:spacing w:val="-20"/>
          <w:sz w:val="44"/>
          <w:szCs w:val="44"/>
        </w:rPr>
      </w:pPr>
      <w: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2" o:spid="_x0000_s1769" o:spt="1" style="position:absolute;left:0pt;margin-left:-26.3pt;margin-top:481.7pt;height:77.7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7" o:spid="_x0000_s1772" o:spt="1" style="position:absolute;left:0pt;margin-left:320.5pt;margin-top:477.55pt;height:79.65pt;width:135.9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color w:val="000000"/>
                      <w:kern w:val="0"/>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1021F7"/>
    <w:rsid w:val="00230B9D"/>
    <w:rsid w:val="00237FFE"/>
    <w:rsid w:val="002F3B54"/>
    <w:rsid w:val="00312601"/>
    <w:rsid w:val="00327B67"/>
    <w:rsid w:val="003B21EE"/>
    <w:rsid w:val="003B3110"/>
    <w:rsid w:val="003D4BCA"/>
    <w:rsid w:val="0043145F"/>
    <w:rsid w:val="00474668"/>
    <w:rsid w:val="00481A1C"/>
    <w:rsid w:val="004A0DC6"/>
    <w:rsid w:val="00533D99"/>
    <w:rsid w:val="00555B30"/>
    <w:rsid w:val="0061364B"/>
    <w:rsid w:val="006646DF"/>
    <w:rsid w:val="00713E74"/>
    <w:rsid w:val="00717160"/>
    <w:rsid w:val="0071746C"/>
    <w:rsid w:val="007805E4"/>
    <w:rsid w:val="007A305D"/>
    <w:rsid w:val="00827A06"/>
    <w:rsid w:val="00837514"/>
    <w:rsid w:val="00863CBE"/>
    <w:rsid w:val="00875540"/>
    <w:rsid w:val="008D0F62"/>
    <w:rsid w:val="008D6520"/>
    <w:rsid w:val="00905356"/>
    <w:rsid w:val="009214EB"/>
    <w:rsid w:val="009968A7"/>
    <w:rsid w:val="009A6C8A"/>
    <w:rsid w:val="009A7893"/>
    <w:rsid w:val="009F0F90"/>
    <w:rsid w:val="00A973F5"/>
    <w:rsid w:val="00B05D6F"/>
    <w:rsid w:val="00BC5E64"/>
    <w:rsid w:val="00C84508"/>
    <w:rsid w:val="00CB3ECB"/>
    <w:rsid w:val="00D35BAD"/>
    <w:rsid w:val="00D35C00"/>
    <w:rsid w:val="00D504E8"/>
    <w:rsid w:val="00D62A2F"/>
    <w:rsid w:val="00D965DF"/>
    <w:rsid w:val="00E645B7"/>
    <w:rsid w:val="00F07A25"/>
    <w:rsid w:val="00FA11D4"/>
    <w:rsid w:val="0198159D"/>
    <w:rsid w:val="037E7D41"/>
    <w:rsid w:val="042F134C"/>
    <w:rsid w:val="049C2D1F"/>
    <w:rsid w:val="111E5122"/>
    <w:rsid w:val="190C23A4"/>
    <w:rsid w:val="19697608"/>
    <w:rsid w:val="1DAB4D3C"/>
    <w:rsid w:val="20603C89"/>
    <w:rsid w:val="231E55DF"/>
    <w:rsid w:val="23966BA5"/>
    <w:rsid w:val="24565DED"/>
    <w:rsid w:val="2B122C35"/>
    <w:rsid w:val="2C074988"/>
    <w:rsid w:val="2C8B1190"/>
    <w:rsid w:val="2DFD2703"/>
    <w:rsid w:val="34022063"/>
    <w:rsid w:val="39C75357"/>
    <w:rsid w:val="3EFD5804"/>
    <w:rsid w:val="47246A79"/>
    <w:rsid w:val="478E1476"/>
    <w:rsid w:val="4D0E3DED"/>
    <w:rsid w:val="55A016CD"/>
    <w:rsid w:val="5A861ABD"/>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qFormat/>
    <w:uiPriority w:val="99"/>
    <w:pPr>
      <w:ind w:left="2520" w:leftChars="1200"/>
    </w:pPr>
  </w:style>
  <w:style w:type="paragraph" w:styleId="3">
    <w:name w:val="toc 5"/>
    <w:basedOn w:val="1"/>
    <w:next w:val="1"/>
    <w:qFormat/>
    <w:uiPriority w:val="99"/>
    <w:pPr>
      <w:ind w:left="1680" w:leftChars="800"/>
    </w:pPr>
  </w:style>
  <w:style w:type="paragraph" w:styleId="4">
    <w:name w:val="toc 3"/>
    <w:basedOn w:val="1"/>
    <w:next w:val="1"/>
    <w:qFormat/>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paragraph" w:styleId="10">
    <w:name w:val="toc 4"/>
    <w:basedOn w:val="1"/>
    <w:next w:val="1"/>
    <w:qFormat/>
    <w:uiPriority w:val="99"/>
    <w:pPr>
      <w:ind w:left="1260" w:leftChars="600"/>
    </w:pPr>
  </w:style>
  <w:style w:type="paragraph" w:styleId="11">
    <w:name w:val="toc 6"/>
    <w:basedOn w:val="1"/>
    <w:next w:val="1"/>
    <w:qFormat/>
    <w:uiPriority w:val="99"/>
    <w:pPr>
      <w:ind w:left="2100" w:leftChars="1000"/>
    </w:pPr>
  </w:style>
  <w:style w:type="paragraph" w:styleId="12">
    <w:name w:val="toc 2"/>
    <w:basedOn w:val="1"/>
    <w:next w:val="1"/>
    <w:qFormat/>
    <w:uiPriority w:val="99"/>
    <w:pPr>
      <w:ind w:left="420" w:leftChars="200"/>
    </w:pPr>
  </w:style>
  <w:style w:type="paragraph" w:styleId="13">
    <w:name w:val="toc 9"/>
    <w:basedOn w:val="1"/>
    <w:next w:val="1"/>
    <w:qFormat/>
    <w:uiPriority w:val="99"/>
    <w:pPr>
      <w:ind w:left="3360" w:leftChars="16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qFormat/>
    <w:uiPriority w:val="99"/>
    <w:rPr>
      <w:rFonts w:cs="Times New Roman"/>
    </w:rPr>
  </w:style>
  <w:style w:type="character" w:customStyle="1" w:styleId="19">
    <w:name w:val="批注框文本 Char"/>
    <w:basedOn w:val="16"/>
    <w:link w:val="6"/>
    <w:semiHidden/>
    <w:qFormat/>
    <w:locked/>
    <w:uiPriority w:val="99"/>
    <w:rPr>
      <w:rFonts w:ascii="Times New Roman" w:hAnsi="Times New Roman" w:eastAsia="宋体" w:cs="Times New Roman"/>
      <w:sz w:val="18"/>
      <w:szCs w:val="18"/>
    </w:rPr>
  </w:style>
  <w:style w:type="character" w:customStyle="1" w:styleId="20">
    <w:name w:val="页脚 Char"/>
    <w:basedOn w:val="16"/>
    <w:link w:val="7"/>
    <w:qFormat/>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69"/>
    <customShpInfo spid="_x0000_s1770"/>
    <customShpInfo spid="_x0000_s1771"/>
    <customShpInfo spid="_x0000_s1772"/>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331</Characters>
  <Lines>2</Lines>
  <Paragraphs>1</Paragraphs>
  <TotalTime>54</TotalTime>
  <ScaleCrop>false</ScaleCrop>
  <LinksUpToDate>false</LinksUpToDate>
  <CharactersWithSpaces>387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2021-05-12T03:30:12Z</cp:lastPrinted>
  <dcterms:modified xsi:type="dcterms:W3CDTF">2021-05-12T03:31:05Z</dcterms:modified>
  <dc:title>内部资料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A19FA8295F914764886D815BA88BF9B3</vt:lpwstr>
  </property>
</Properties>
</file>