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hint="eastAsia" w:ascii="楷体_GB2312" w:hAnsi="楷体" w:eastAsia="楷体_GB2312"/>
          <w:sz w:val="36"/>
          <w:szCs w:val="36"/>
        </w:rPr>
      </w:pPr>
      <w:r>
        <w:rPr>
          <w:rFonts w:hint="eastAsia" w:ascii="楷体_GB2312" w:hAnsi="楷体" w:eastAsia="楷体_GB2312"/>
          <w:sz w:val="36"/>
          <w:szCs w:val="36"/>
        </w:rPr>
        <w:t>行政处罚类--</w:t>
      </w:r>
      <w:r>
        <w:rPr>
          <w:rFonts w:hint="eastAsia" w:ascii="楷体_GB2312" w:hAnsi="楷体" w:eastAsia="楷体_GB2312"/>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对已经取得危化经营许可证的企业不再具备安全生产条件的处罚职权运行</w:t>
      </w: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流程图</w:t>
      </w:r>
    </w:p>
    <w:p>
      <w:pPr>
        <w:rPr>
          <w:rFonts w:ascii="楷体_GB2312" w:eastAsia="楷体_GB2312"/>
          <w:lang w:val="zh-CN"/>
        </w:rPr>
      </w:pPr>
      <w:r>
        <w:rPr>
          <w:rFonts w:ascii="楷体_GB2312" w:eastAsia="楷体_GB2312"/>
        </w:rP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rPr>
          <w:rFonts w:ascii="楷体_GB2312" w:eastAsia="楷体_GB2312"/>
        </w:rP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rPr>
          <w:rFonts w:ascii="楷体_GB2312" w:eastAsia="楷体_GB2312"/>
        </w:rP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rPr>
          <w:rFonts w:ascii="楷体_GB2312" w:eastAsia="楷体_GB2312"/>
        </w:rP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rPr>
          <w:rFonts w:ascii="楷体_GB2312" w:eastAsia="楷体_GB2312"/>
        </w:rP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rPr>
          <w:rFonts w:ascii="楷体_GB2312" w:eastAsia="楷体_GB2312"/>
        </w:rP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rPr>
          <w:rFonts w:ascii="楷体_GB2312" w:eastAsia="楷体_GB2312"/>
        </w:rP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rPr>
          <w:rFonts w:ascii="楷体_GB2312" w:eastAsia="楷体_GB2312"/>
        </w:rP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rPr>
          <w:rFonts w:ascii="楷体_GB2312" w:eastAsia="楷体_GB2312"/>
        </w:rP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rPr>
          <w:rFonts w:ascii="楷体_GB2312" w:eastAsia="楷体_GB2312"/>
        </w:rP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rPr>
          <w:rFonts w:ascii="楷体_GB2312" w:eastAsia="楷体_GB2312"/>
        </w:rP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rPr>
          <w:rFonts w:ascii="楷体_GB2312" w:eastAsia="楷体_GB2312"/>
        </w:rP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rPr>
          <w:rFonts w:ascii="楷体_GB2312" w:eastAsia="楷体_GB2312"/>
        </w:rP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rPr>
          <w:rFonts w:ascii="楷体_GB2312" w:eastAsia="楷体_GB2312"/>
        </w:rP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rPr>
          <w:rFonts w:ascii="楷体_GB2312" w:eastAsia="楷体_GB2312"/>
        </w:rP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rPr>
          <w:rFonts w:ascii="楷体_GB2312" w:eastAsia="楷体_GB2312"/>
        </w:rP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rPr>
          <w:rFonts w:ascii="楷体_GB2312" w:eastAsia="楷体_GB2312"/>
        </w:rP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rPr>
          <w:rFonts w:ascii="楷体_GB2312" w:eastAsia="楷体_GB2312"/>
        </w:rP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rPr>
          <w:rFonts w:ascii="楷体_GB2312" w:eastAsia="楷体_GB2312"/>
        </w:rP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rPr>
          <w:rFonts w:ascii="楷体_GB2312" w:eastAsia="楷体_GB2312"/>
        </w:rP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rPr>
          <w:rFonts w:ascii="楷体_GB2312" w:eastAsia="楷体_GB2312"/>
        </w:rP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rPr>
          <w:rFonts w:ascii="楷体_GB2312" w:eastAsia="楷体_GB2312"/>
        </w:rP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rPr>
          <w:rFonts w:ascii="楷体_GB2312" w:eastAsia="楷体_GB2312"/>
        </w:rP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rPr>
          <w:rFonts w:ascii="楷体_GB2312" w:eastAsia="楷体_GB2312"/>
        </w:rP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rPr>
          <w:rFonts w:ascii="楷体_GB2312" w:eastAsia="楷体_GB2312"/>
        </w:rP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rPr>
          <w:rFonts w:ascii="楷体_GB2312" w:eastAsia="楷体_GB2312"/>
        </w:rP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rPr>
          <w:rFonts w:ascii="楷体_GB2312" w:eastAsia="楷体_GB2312"/>
        </w:rP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rPr>
          <w:rFonts w:ascii="楷体_GB2312" w:eastAsia="楷体_GB2312"/>
        </w:rP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rPr>
          <w:rFonts w:ascii="楷体_GB2312" w:eastAsia="楷体_GB2312"/>
        </w:rP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rPr>
          <w:rFonts w:ascii="楷体_GB2312" w:eastAsia="楷体_GB2312"/>
        </w:rP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rPr>
          <w:rFonts w:ascii="楷体_GB2312" w:eastAsia="楷体_GB2312"/>
        </w:rP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rPr>
          <w:rFonts w:ascii="楷体_GB2312" w:eastAsia="楷体_GB2312"/>
        </w:rP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rPr>
          <w:rFonts w:ascii="楷体_GB2312" w:eastAsia="楷体_GB2312"/>
        </w:rP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rPr>
          <w:rFonts w:ascii="楷体_GB2312" w:eastAsia="楷体_GB2312"/>
        </w:rP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rPr>
          <w:rFonts w:ascii="楷体_GB2312" w:eastAsia="楷体_GB2312"/>
        </w:rP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rPr>
          <w:rFonts w:ascii="楷体_GB2312" w:eastAsia="楷体_GB2312"/>
        </w:rP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rPr>
          <w:rFonts w:ascii="楷体_GB2312" w:eastAsia="楷体_GB2312"/>
        </w:rP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rPr>
          <w:rFonts w:ascii="楷体_GB2312" w:eastAsia="楷体_GB2312"/>
        </w:rP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rPr>
          <w:rFonts w:ascii="楷体_GB2312" w:eastAsia="楷体_GB2312"/>
        </w:rP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rPr>
          <w:rFonts w:ascii="楷体_GB2312" w:eastAsia="楷体_GB2312"/>
        </w:rP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rPr>
          <w:rFonts w:ascii="楷体_GB2312" w:eastAsia="楷体_GB2312"/>
        </w:rP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rPr>
          <w:rFonts w:ascii="楷体_GB2312" w:eastAsia="楷体_GB2312"/>
        </w:rP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rPr>
          <w:rFonts w:ascii="楷体_GB2312" w:eastAsia="楷体_GB2312"/>
        </w:rP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rPr>
          <w:rFonts w:ascii="楷体_GB2312" w:eastAsia="楷体_GB2312"/>
        </w:rP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rPr>
          <w:rFonts w:ascii="楷体_GB2312" w:eastAsia="楷体_GB2312"/>
        </w:rP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rPr>
          <w:rFonts w:ascii="楷体_GB2312" w:eastAsia="楷体_GB2312"/>
        </w:rP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rPr>
          <w:rFonts w:ascii="楷体_GB2312" w:eastAsia="楷体_GB2312"/>
        </w:rP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rPr>
          <w:rFonts w:ascii="楷体_GB2312" w:eastAsia="楷体_GB2312"/>
        </w:rP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rPr>
          <w:rFonts w:ascii="楷体_GB2312" w:eastAsia="楷体_GB2312"/>
        </w:rP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rPr>
          <w:rFonts w:ascii="楷体_GB2312" w:eastAsia="楷体_GB2312"/>
        </w:rP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rPr>
          <w:rFonts w:ascii="楷体_GB2312" w:eastAsia="楷体_GB2312"/>
        </w:rP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rPr>
          <w:rFonts w:ascii="楷体_GB2312" w:eastAsia="楷体_GB2312"/>
        </w:rP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rPr>
          <w:rFonts w:ascii="楷体_GB2312" w:eastAsia="楷体_GB2312"/>
        </w:rP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rPr>
          <w:rFonts w:ascii="楷体_GB2312" w:eastAsia="楷体_GB2312"/>
        </w:rP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rPr>
          <w:rFonts w:ascii="楷体_GB2312" w:eastAsia="楷体_GB2312"/>
        </w:rP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rPr>
          <w:rFonts w:ascii="楷体_GB2312" w:eastAsia="楷体_GB2312"/>
        </w:rP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rPr>
          <w:rFonts w:ascii="楷体_GB2312" w:eastAsia="楷体_GB2312"/>
        </w:rP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rPr>
          <w:rFonts w:ascii="楷体_GB2312" w:eastAsia="楷体_GB2312"/>
        </w:rP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rPr>
          <w:rFonts w:ascii="楷体_GB2312" w:eastAsia="楷体_GB2312"/>
        </w:rP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rPr>
          <w:rFonts w:ascii="楷体_GB2312" w:eastAsia="楷体_GB2312"/>
        </w:rP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rPr>
          <w:rFonts w:ascii="楷体_GB2312" w:eastAsia="楷体_GB2312"/>
        </w:rP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rFonts w:ascii="楷体_GB2312" w:eastAsia="楷体_GB2312"/>
          <w:lang w:val="zh-CN"/>
        </w:rPr>
      </w:pPr>
      <w:r>
        <w:rPr>
          <w:rFonts w:ascii="楷体_GB2312" w:eastAsia="楷体_GB2312"/>
        </w:rP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rFonts w:ascii="楷体_GB2312" w:eastAsia="楷体_GB2312"/>
          <w:lang w:val="zh-CN"/>
        </w:rPr>
      </w:pPr>
    </w:p>
    <w:p>
      <w:pPr>
        <w:rPr>
          <w:rFonts w:ascii="楷体_GB2312" w:eastAsia="楷体_GB2312"/>
          <w:lang w:val="zh-CN"/>
        </w:rPr>
      </w:pPr>
      <w:r>
        <w:rPr>
          <w:rFonts w:ascii="楷体_GB2312" w:eastAsia="楷体_GB2312"/>
        </w:rP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rPr>
          <w:rFonts w:ascii="楷体_GB2312" w:eastAsia="楷体_GB2312"/>
        </w:rP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49.3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rPr>
                      <w:rFonts w:ascii="黑体" w:hAnsi="黑体" w:eastAsia="黑体" w:cs="黑体"/>
                      <w:szCs w:val="21"/>
                    </w:rPr>
                  </w:pPr>
                  <w:r>
                    <w:rPr>
                      <w:rFonts w:ascii="黑体" w:hAnsi="黑体" w:eastAsia="黑体" w:cs="黑体"/>
                      <w:szCs w:val="21"/>
                    </w:rPr>
                    <w:t xml:space="preserve">    </w:t>
                  </w:r>
                  <w:r>
                    <w:rPr>
                      <w:rFonts w:hint="eastAsia" w:ascii="黑体" w:hAnsi="黑体" w:eastAsia="黑体" w:cs="黑体"/>
                      <w:szCs w:val="21"/>
                    </w:rPr>
                    <w:t xml:space="preserve">承办机构：综合监管股 </w:t>
                  </w:r>
                </w:p>
                <w:p>
                  <w:pPr>
                    <w:snapToGrid w:val="0"/>
                    <w:rPr>
                      <w:rFonts w:hint="default" w:ascii="黑体" w:hAnsi="黑体" w:eastAsia="黑体" w:cs="黑体"/>
                      <w:szCs w:val="21"/>
                      <w:lang w:val="en-US"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val="en-US" w:eastAsia="zh-CN"/>
                    </w:rPr>
                    <w:t>7526178</w:t>
                  </w:r>
                </w:p>
                <w:p>
                  <w:pPr>
                    <w:snapToGrid w:val="0"/>
                    <w:rPr>
                      <w:rFonts w:ascii="黑体" w:hAnsi="黑体" w:eastAsia="黑体" w:cs="黑体"/>
                      <w:szCs w:val="21"/>
                    </w:rPr>
                  </w:pP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_GB2312" w:hAnsi="楷体" w:eastAsia="楷体_GB2312" w:cs="方正仿宋简体"/>
          <w:bCs/>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bookmarkStart w:id="0" w:name="_GoBack"/>
      <w:bookmarkEnd w:id="0"/>
      <w:r>
        <w:rPr>
          <w:rFonts w:hint="eastAsia" w:ascii="楷体_GB2312" w:hAnsi="楷体" w:eastAsia="楷体_GB2312"/>
          <w:kern w:val="0"/>
          <w:sz w:val="36"/>
          <w:szCs w:val="36"/>
        </w:rPr>
        <w:t>县应急管理局</w:t>
      </w:r>
      <w:r>
        <w:rPr>
          <w:rFonts w:hint="eastAsia" w:ascii="楷体_GB2312" w:hAnsi="楷体" w:eastAsia="楷体_GB2312" w:cs="方正仿宋简体"/>
          <w:bCs/>
          <w:sz w:val="36"/>
          <w:szCs w:val="36"/>
        </w:rPr>
        <w:t>对已经取得危化经营许可证的企业不再具备安全生产条件的处罚廉政风险防控图</w:t>
      </w:r>
    </w:p>
    <w:p>
      <w:pPr>
        <w:tabs>
          <w:tab w:val="center" w:pos="4422"/>
          <w:tab w:val="left" w:pos="5372"/>
        </w:tabs>
        <w:spacing w:line="440" w:lineRule="exact"/>
        <w:jc w:val="left"/>
        <w:rPr>
          <w:b/>
          <w:bCs/>
          <w:spacing w:val="-20"/>
          <w:sz w:val="44"/>
          <w:szCs w:val="44"/>
        </w:rPr>
      </w:pPr>
      <w:r>
        <w:rPr>
          <w:b/>
          <w:bCs/>
          <w:spacing w:val="-20"/>
          <w:sz w:val="44"/>
          <w:szCs w:val="44"/>
        </w:rPr>
        <w:tab/>
      </w:r>
      <w: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r>
        <w:rPr>
          <w:b/>
          <w:bCs/>
          <w:spacing w:val="-20"/>
          <w:sz w:val="44"/>
          <w:szCs w:val="44"/>
        </w:rPr>
        <w:tab/>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adjustRightInd w:val="0"/>
                    <w:snapToGrid w:val="0"/>
                    <w:spacing w:line="240" w:lineRule="exact"/>
                    <w:rPr>
                      <w:rFonts w:ascii="仿宋_GB2312" w:hAnsi="宋体" w:eastAsia="仿宋_GB2312"/>
                      <w:sz w:val="24"/>
                      <w:szCs w:val="24"/>
                    </w:rPr>
                  </w:pPr>
                </w:p>
              </w:txbxContent>
            </v:textbox>
          </v:rect>
        </w:pict>
      </w:r>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kern w:val="0"/>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spacing w:line="240" w:lineRule="exact"/>
                    <w:rPr>
                      <w:rFonts w:ascii="宋体" w:cs="宋体"/>
                      <w:sz w:val="18"/>
                      <w:szCs w:val="18"/>
                    </w:rPr>
                  </w:pP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r>
        <w:pict>
          <v:rect id="Rectangle 182" o:spid="_x0000_s1769" o:spt="1" style="position:absolute;left:0pt;margin-left:-26.3pt;margin-top:17.7pt;height:80.9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7" o:spid="_x0000_s1772" o:spt="1" style="position:absolute;left:0pt;margin-left:320.5pt;margin-top:13.55pt;height:79.65pt;width:138.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kern w:val="0"/>
                      <w:sz w:val="18"/>
                      <w:szCs w:val="18"/>
                      <w:lang w:eastAsia="zh-CN"/>
                    </w:rPr>
                    <w:t>冯海强</w:t>
                  </w:r>
                </w:p>
                <w:p>
                  <w:pPr>
                    <w:adjustRightInd w:val="0"/>
                    <w:snapToGrid w:val="0"/>
                    <w:spacing w:line="240" w:lineRule="exact"/>
                    <w:rPr>
                      <w:rFonts w:ascii="宋体" w:cs="宋体"/>
                      <w:color w:val="000000"/>
                      <w:kern w:val="0"/>
                      <w:sz w:val="18"/>
                      <w:szCs w:val="18"/>
                    </w:rPr>
                  </w:pPr>
                </w:p>
              </w:txbxContent>
            </v:textbox>
          </v:rect>
        </w:pict>
      </w: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8063F"/>
    <w:rsid w:val="000F753C"/>
    <w:rsid w:val="001021F7"/>
    <w:rsid w:val="0011144B"/>
    <w:rsid w:val="001376E5"/>
    <w:rsid w:val="00154926"/>
    <w:rsid w:val="0017172A"/>
    <w:rsid w:val="001C063C"/>
    <w:rsid w:val="001D215B"/>
    <w:rsid w:val="00204459"/>
    <w:rsid w:val="002332F5"/>
    <w:rsid w:val="00263578"/>
    <w:rsid w:val="00285CCE"/>
    <w:rsid w:val="002F3B54"/>
    <w:rsid w:val="00303085"/>
    <w:rsid w:val="00312601"/>
    <w:rsid w:val="003737EF"/>
    <w:rsid w:val="003935D3"/>
    <w:rsid w:val="00395FF5"/>
    <w:rsid w:val="003B3110"/>
    <w:rsid w:val="003B4858"/>
    <w:rsid w:val="003C1BDD"/>
    <w:rsid w:val="003D4BCA"/>
    <w:rsid w:val="0043145F"/>
    <w:rsid w:val="0046716C"/>
    <w:rsid w:val="00474668"/>
    <w:rsid w:val="0047782C"/>
    <w:rsid w:val="00481A1C"/>
    <w:rsid w:val="004A7972"/>
    <w:rsid w:val="004E0696"/>
    <w:rsid w:val="004E5D0A"/>
    <w:rsid w:val="0051237A"/>
    <w:rsid w:val="0052543F"/>
    <w:rsid w:val="00555B30"/>
    <w:rsid w:val="00571E91"/>
    <w:rsid w:val="00593B3A"/>
    <w:rsid w:val="005F6865"/>
    <w:rsid w:val="005F7E77"/>
    <w:rsid w:val="006069B0"/>
    <w:rsid w:val="0061364B"/>
    <w:rsid w:val="00624116"/>
    <w:rsid w:val="006427DA"/>
    <w:rsid w:val="006437FA"/>
    <w:rsid w:val="006629EC"/>
    <w:rsid w:val="00697050"/>
    <w:rsid w:val="00717160"/>
    <w:rsid w:val="0071746C"/>
    <w:rsid w:val="0072115F"/>
    <w:rsid w:val="0073543E"/>
    <w:rsid w:val="007410EE"/>
    <w:rsid w:val="00752B7B"/>
    <w:rsid w:val="007805E4"/>
    <w:rsid w:val="007E37EE"/>
    <w:rsid w:val="008228B5"/>
    <w:rsid w:val="00837514"/>
    <w:rsid w:val="00861C12"/>
    <w:rsid w:val="00863CBE"/>
    <w:rsid w:val="00873843"/>
    <w:rsid w:val="00875540"/>
    <w:rsid w:val="008C1AE1"/>
    <w:rsid w:val="008D0F62"/>
    <w:rsid w:val="008D6520"/>
    <w:rsid w:val="008E7D5E"/>
    <w:rsid w:val="008F2C8C"/>
    <w:rsid w:val="00905356"/>
    <w:rsid w:val="009214EB"/>
    <w:rsid w:val="00991A58"/>
    <w:rsid w:val="009968A7"/>
    <w:rsid w:val="009A5C02"/>
    <w:rsid w:val="009A6029"/>
    <w:rsid w:val="009A7893"/>
    <w:rsid w:val="009B6901"/>
    <w:rsid w:val="009C6280"/>
    <w:rsid w:val="009E1A74"/>
    <w:rsid w:val="00A2103B"/>
    <w:rsid w:val="00A7772C"/>
    <w:rsid w:val="00A815F4"/>
    <w:rsid w:val="00A8396B"/>
    <w:rsid w:val="00AA3997"/>
    <w:rsid w:val="00B028F4"/>
    <w:rsid w:val="00B05D6F"/>
    <w:rsid w:val="00B25708"/>
    <w:rsid w:val="00BA2C8C"/>
    <w:rsid w:val="00BC5E64"/>
    <w:rsid w:val="00BD2DAB"/>
    <w:rsid w:val="00BD3577"/>
    <w:rsid w:val="00BD7C81"/>
    <w:rsid w:val="00C16140"/>
    <w:rsid w:val="00C25561"/>
    <w:rsid w:val="00C51E36"/>
    <w:rsid w:val="00C5663B"/>
    <w:rsid w:val="00C84508"/>
    <w:rsid w:val="00CB3ECB"/>
    <w:rsid w:val="00D35BAD"/>
    <w:rsid w:val="00D35C00"/>
    <w:rsid w:val="00D4178A"/>
    <w:rsid w:val="00D504E8"/>
    <w:rsid w:val="00D62A2F"/>
    <w:rsid w:val="00D75081"/>
    <w:rsid w:val="00D87669"/>
    <w:rsid w:val="00DB1669"/>
    <w:rsid w:val="00DF4B6D"/>
    <w:rsid w:val="00E60B07"/>
    <w:rsid w:val="00E6577A"/>
    <w:rsid w:val="00E95753"/>
    <w:rsid w:val="00EF427C"/>
    <w:rsid w:val="00F72E4F"/>
    <w:rsid w:val="00FA11D4"/>
    <w:rsid w:val="00FD486C"/>
    <w:rsid w:val="00FD48BA"/>
    <w:rsid w:val="00FD6F72"/>
    <w:rsid w:val="00FE019A"/>
    <w:rsid w:val="00FE0B03"/>
    <w:rsid w:val="00FF0CF1"/>
    <w:rsid w:val="0198159D"/>
    <w:rsid w:val="037E7D41"/>
    <w:rsid w:val="042F134C"/>
    <w:rsid w:val="049C2D1F"/>
    <w:rsid w:val="111E5122"/>
    <w:rsid w:val="190C23A4"/>
    <w:rsid w:val="19697608"/>
    <w:rsid w:val="1DAB4D3C"/>
    <w:rsid w:val="20603C89"/>
    <w:rsid w:val="23966BA5"/>
    <w:rsid w:val="2B122C35"/>
    <w:rsid w:val="2C074988"/>
    <w:rsid w:val="2DFD2703"/>
    <w:rsid w:val="34022063"/>
    <w:rsid w:val="39C75357"/>
    <w:rsid w:val="3EFD5804"/>
    <w:rsid w:val="47246A79"/>
    <w:rsid w:val="478E1476"/>
    <w:rsid w:val="4C080652"/>
    <w:rsid w:val="55A016CD"/>
    <w:rsid w:val="5A861ABD"/>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qFormat/>
    <w:uiPriority w:val="99"/>
    <w:pPr>
      <w:ind w:left="2520" w:leftChars="1200"/>
    </w:pPr>
  </w:style>
  <w:style w:type="paragraph" w:styleId="3">
    <w:name w:val="toc 5"/>
    <w:basedOn w:val="1"/>
    <w:next w:val="1"/>
    <w:qFormat/>
    <w:uiPriority w:val="99"/>
    <w:pPr>
      <w:ind w:left="1680" w:leftChars="800"/>
    </w:pPr>
  </w:style>
  <w:style w:type="paragraph" w:styleId="4">
    <w:name w:val="toc 3"/>
    <w:basedOn w:val="1"/>
    <w:next w:val="1"/>
    <w:qFormat/>
    <w:uiPriority w:val="99"/>
    <w:pPr>
      <w:ind w:left="840" w:leftChars="400"/>
    </w:pPr>
  </w:style>
  <w:style w:type="paragraph" w:styleId="5">
    <w:name w:val="toc 8"/>
    <w:basedOn w:val="1"/>
    <w:next w:val="1"/>
    <w:qFormat/>
    <w:uiPriority w:val="99"/>
    <w:pPr>
      <w:ind w:left="2940" w:leftChars="1400"/>
    </w:pPr>
  </w:style>
  <w:style w:type="paragraph" w:styleId="6">
    <w:name w:val="Balloon Text"/>
    <w:basedOn w:val="1"/>
    <w:link w:val="19"/>
    <w:semiHidden/>
    <w:qFormat/>
    <w:uiPriority w:val="99"/>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link w:val="21"/>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99"/>
  </w:style>
  <w:style w:type="paragraph" w:styleId="10">
    <w:name w:val="toc 4"/>
    <w:basedOn w:val="1"/>
    <w:next w:val="1"/>
    <w:qFormat/>
    <w:uiPriority w:val="99"/>
    <w:pPr>
      <w:ind w:left="1260" w:leftChars="600"/>
    </w:pPr>
  </w:style>
  <w:style w:type="paragraph" w:styleId="11">
    <w:name w:val="toc 6"/>
    <w:basedOn w:val="1"/>
    <w:next w:val="1"/>
    <w:qFormat/>
    <w:uiPriority w:val="99"/>
    <w:pPr>
      <w:ind w:left="2100" w:leftChars="1000"/>
    </w:pPr>
  </w:style>
  <w:style w:type="paragraph" w:styleId="12">
    <w:name w:val="toc 2"/>
    <w:basedOn w:val="1"/>
    <w:next w:val="1"/>
    <w:qFormat/>
    <w:uiPriority w:val="99"/>
    <w:pPr>
      <w:ind w:left="420" w:leftChars="200"/>
    </w:pPr>
  </w:style>
  <w:style w:type="paragraph" w:styleId="13">
    <w:name w:val="toc 9"/>
    <w:basedOn w:val="1"/>
    <w:next w:val="1"/>
    <w:qFormat/>
    <w:uiPriority w:val="99"/>
    <w:pPr>
      <w:ind w:left="3360" w:leftChars="1600"/>
    </w:p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qFormat/>
    <w:uiPriority w:val="99"/>
    <w:rPr>
      <w:rFonts w:cs="Times New Roman"/>
    </w:rPr>
  </w:style>
  <w:style w:type="character" w:customStyle="1" w:styleId="19">
    <w:name w:val="批注框文本 Char"/>
    <w:basedOn w:val="16"/>
    <w:link w:val="6"/>
    <w:semiHidden/>
    <w:qFormat/>
    <w:locked/>
    <w:uiPriority w:val="99"/>
    <w:rPr>
      <w:rFonts w:ascii="Times New Roman" w:hAnsi="Times New Roman" w:eastAsia="宋体" w:cs="Times New Roman"/>
      <w:sz w:val="18"/>
      <w:szCs w:val="18"/>
    </w:rPr>
  </w:style>
  <w:style w:type="character" w:customStyle="1" w:styleId="20">
    <w:name w:val="页脚 Char"/>
    <w:basedOn w:val="16"/>
    <w:link w:val="7"/>
    <w:qFormat/>
    <w:locked/>
    <w:uiPriority w:val="99"/>
    <w:rPr>
      <w:rFonts w:cs="Times New Roman"/>
      <w:sz w:val="18"/>
      <w:szCs w:val="18"/>
    </w:rPr>
  </w:style>
  <w:style w:type="character" w:customStyle="1" w:styleId="21">
    <w:name w:val="页眉 Char"/>
    <w:basedOn w:val="16"/>
    <w:link w:val="8"/>
    <w:semiHidden/>
    <w:qFormat/>
    <w:locked/>
    <w:uiPriority w:val="99"/>
    <w:rPr>
      <w:rFonts w:cs="Times New Roman"/>
      <w:sz w:val="18"/>
      <w:szCs w:val="18"/>
    </w:rPr>
  </w:style>
  <w:style w:type="paragraph" w:customStyle="1" w:styleId="22">
    <w:name w:val="p0"/>
    <w:basedOn w:val="1"/>
    <w:qFormat/>
    <w:uiPriority w:val="99"/>
    <w:pPr>
      <w:widowControl/>
    </w:pPr>
    <w:rPr>
      <w:kern w:val="0"/>
      <w:szCs w:val="21"/>
    </w:rPr>
  </w:style>
  <w:style w:type="paragraph" w:customStyle="1" w:styleId="23">
    <w:name w:val="列出段落1"/>
    <w:basedOn w:val="1"/>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70"/>
    <customShpInfo spid="_x0000_s1771"/>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69"/>
    <customShpInfo spid="_x0000_s1772"/>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45</Words>
  <Characters>260</Characters>
  <Lines>2</Lines>
  <Paragraphs>1</Paragraphs>
  <TotalTime>70</TotalTime>
  <ScaleCrop>false</ScaleCrop>
  <LinksUpToDate>false</LinksUpToDate>
  <CharactersWithSpaces>304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gao</cp:lastModifiedBy>
  <cp:lastPrinted>2021-05-12T04:02:37Z</cp:lastPrinted>
  <dcterms:modified xsi:type="dcterms:W3CDTF">2021-05-12T04:02:44Z</dcterms:modified>
  <dc:title>内部资料</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7BB333DAEAD84683A85B71ED1790DE5A</vt:lpwstr>
  </property>
</Properties>
</file>