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eastAsia="zh-CN"/>
        </w:rPr>
        <w:t>新闻出版局</w:t>
      </w:r>
      <w:r>
        <w:rPr>
          <w:rFonts w:hint="eastAsia" w:ascii="方正小标宋简体" w:hAnsi="方正小标宋简体" w:eastAsia="方正小标宋简体" w:cs="方正小标宋简体"/>
          <w:bCs/>
          <w:sz w:val="44"/>
          <w:szCs w:val="44"/>
        </w:rPr>
        <w:t>行政</w:t>
      </w:r>
      <w:r>
        <w:rPr>
          <w:rFonts w:hint="eastAsia" w:ascii="方正小标宋简体" w:hAnsi="方正小标宋简体" w:eastAsia="方正小标宋简体" w:cs="方正小标宋简体"/>
          <w:bCs/>
          <w:sz w:val="44"/>
          <w:szCs w:val="44"/>
          <w:lang w:eastAsia="zh-CN"/>
        </w:rPr>
        <w:t>许可</w:t>
      </w:r>
      <w:r>
        <w:rPr>
          <w:rFonts w:hint="eastAsia" w:ascii="方正小标宋简体" w:hAnsi="方正小标宋简体" w:eastAsia="方正小标宋简体" w:cs="方正小标宋简体"/>
          <w:bCs/>
          <w:sz w:val="44"/>
          <w:szCs w:val="44"/>
        </w:rPr>
        <w:t>权力运行流程图</w:t>
      </w:r>
    </w:p>
    <w:p>
      <w:pPr>
        <w:keepNext w:val="0"/>
        <w:keepLines w:val="0"/>
        <w:pageBreakBefore w:val="0"/>
        <w:widowControl w:val="0"/>
        <w:tabs>
          <w:tab w:val="left" w:pos="6660"/>
        </w:tabs>
        <w:kinsoku/>
        <w:wordWrap/>
        <w:overflowPunct/>
        <w:topLinePunct w:val="0"/>
        <w:autoSpaceDE/>
        <w:autoSpaceDN/>
        <w:bidi w:val="0"/>
        <w:adjustRightInd/>
        <w:snapToGrid/>
        <w:spacing w:line="440" w:lineRule="exact"/>
        <w:jc w:val="center"/>
        <w:textAlignment w:val="auto"/>
        <w:outlineLvl w:val="9"/>
        <w:rPr>
          <w:rFonts w:hint="eastAsia" w:ascii="仿宋_GB2312" w:hAnsi="仿宋_GB2312" w:eastAsia="仿宋_GB2312" w:cs="仿宋_GB2312"/>
          <w:sz w:val="28"/>
          <w:szCs w:val="28"/>
        </w:rPr>
      </w:pPr>
      <w:r>
        <mc:AlternateContent>
          <mc:Choice Requires="wpg">
            <w:drawing>
              <wp:anchor distT="0" distB="0" distL="114300" distR="114300" simplePos="0" relativeHeight="251659264" behindDoc="0" locked="0" layoutInCell="1" allowOverlap="1">
                <wp:simplePos x="0" y="0"/>
                <wp:positionH relativeFrom="column">
                  <wp:posOffset>-561340</wp:posOffset>
                </wp:positionH>
                <wp:positionV relativeFrom="paragraph">
                  <wp:posOffset>569595</wp:posOffset>
                </wp:positionV>
                <wp:extent cx="6532880" cy="6823075"/>
                <wp:effectExtent l="4445" t="4445" r="15875" b="11430"/>
                <wp:wrapNone/>
                <wp:docPr id="1838" name="组合 1838"/>
                <wp:cNvGraphicFramePr/>
                <a:graphic xmlns:a="http://schemas.openxmlformats.org/drawingml/2006/main">
                  <a:graphicData uri="http://schemas.microsoft.com/office/word/2010/wordprocessingGroup">
                    <wpg:wgp>
                      <wpg:cNvGrpSpPr/>
                      <wpg:grpSpPr>
                        <a:xfrm>
                          <a:off x="0" y="0"/>
                          <a:ext cx="6532880" cy="6823121"/>
                          <a:chOff x="1411" y="987"/>
                          <a:chExt cx="10288" cy="10926"/>
                        </a:xfrm>
                      </wpg:grpSpPr>
                      <wps:wsp>
                        <wps:cNvPr id="1839" name="矩形 1"/>
                        <wps:cNvSpPr/>
                        <wps:spPr>
                          <a:xfrm>
                            <a:off x="4260" y="1017"/>
                            <a:ext cx="2161" cy="936"/>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30"/>
                                  <w:szCs w:val="30"/>
                                </w:rPr>
                              </w:pPr>
                              <w:r>
                                <w:rPr>
                                  <w:rFonts w:hint="eastAsia"/>
                                  <w:sz w:val="30"/>
                                  <w:szCs w:val="30"/>
                                </w:rPr>
                                <w:t>申请</w:t>
                              </w:r>
                            </w:p>
                          </w:txbxContent>
                        </wps:txbx>
                        <wps:bodyPr upright="1"/>
                      </wps:wsp>
                      <wps:wsp>
                        <wps:cNvPr id="1840" name="矩形 3"/>
                        <wps:cNvSpPr/>
                        <wps:spPr>
                          <a:xfrm>
                            <a:off x="7126" y="987"/>
                            <a:ext cx="4573" cy="4202"/>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应当提交的申请材料：</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1、申请书</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2</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color w:val="000000"/>
                                  <w:sz w:val="18"/>
                                  <w:szCs w:val="18"/>
                                </w:rPr>
                                <w:t>工商营业执照</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sz w:val="18"/>
                                  <w:szCs w:val="18"/>
                                  <w:lang w:val="en-US" w:eastAsia="zh-CN"/>
                                </w:rPr>
                                <w:t>3</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color w:val="000000"/>
                                  <w:sz w:val="18"/>
                                  <w:szCs w:val="18"/>
                                </w:rPr>
                                <w:t>申请单位上级主管部门批准文件</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sz w:val="18"/>
                                  <w:szCs w:val="18"/>
                                  <w:lang w:val="en-US" w:eastAsia="zh-CN"/>
                                </w:rPr>
                                <w:t>4</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color w:val="000000"/>
                                  <w:sz w:val="18"/>
                                  <w:szCs w:val="18"/>
                                </w:rPr>
                                <w:t>申请单位法人代表或主要负责人身份证和职称证书</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lang w:val="en-US" w:eastAsia="zh-CN"/>
                                </w:rPr>
                                <w:t>5.</w:t>
                              </w:r>
                              <w:r>
                                <w:rPr>
                                  <w:rFonts w:hint="eastAsia" w:asciiTheme="minorEastAsia" w:hAnsiTheme="minorEastAsia" w:eastAsiaTheme="minorEastAsia" w:cstheme="minorEastAsia"/>
                                  <w:color w:val="000000"/>
                                  <w:sz w:val="18"/>
                                  <w:szCs w:val="18"/>
                                </w:rPr>
                                <w:t>放映场所房产证明或合同书</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lang w:val="en-US" w:eastAsia="zh-CN"/>
                                </w:rPr>
                                <w:t>6.</w:t>
                              </w:r>
                              <w:r>
                                <w:rPr>
                                  <w:rFonts w:hint="eastAsia" w:asciiTheme="minorEastAsia" w:hAnsiTheme="minorEastAsia" w:eastAsiaTheme="minorEastAsia" w:cstheme="minorEastAsia"/>
                                  <w:color w:val="000000"/>
                                  <w:sz w:val="18"/>
                                  <w:szCs w:val="18"/>
                                </w:rPr>
                                <w:t>经营场所平面图</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lang w:val="en-US" w:eastAsia="zh-CN"/>
                                </w:rPr>
                                <w:t>7.</w:t>
                              </w:r>
                              <w:r>
                                <w:rPr>
                                  <w:rFonts w:hint="eastAsia" w:asciiTheme="minorEastAsia" w:hAnsiTheme="minorEastAsia" w:eastAsiaTheme="minorEastAsia" w:cstheme="minorEastAsia"/>
                                  <w:color w:val="000000"/>
                                  <w:sz w:val="18"/>
                                  <w:szCs w:val="18"/>
                                </w:rPr>
                                <w:t>公安消防部门出具的《消防安全合格证》和卫生部门出具的《卫生许可证》</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lang w:val="en-US" w:eastAsia="zh-CN"/>
                                </w:rPr>
                                <w:t>8.</w:t>
                              </w:r>
                              <w:r>
                                <w:rPr>
                                  <w:rFonts w:hint="eastAsia" w:asciiTheme="minorEastAsia" w:hAnsiTheme="minorEastAsia" w:eastAsiaTheme="minorEastAsia" w:cstheme="minorEastAsia"/>
                                  <w:color w:val="000000"/>
                                  <w:sz w:val="18"/>
                                  <w:szCs w:val="18"/>
                                </w:rPr>
                                <w:t>专业人员技术资格证或岗前培训证</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lang w:val="en-US" w:eastAsia="zh-CN"/>
                                </w:rPr>
                                <w:t>9.</w:t>
                              </w:r>
                              <w:r>
                                <w:rPr>
                                  <w:rFonts w:hint="eastAsia" w:asciiTheme="minorEastAsia" w:hAnsiTheme="minorEastAsia" w:eastAsiaTheme="minorEastAsia" w:cstheme="minorEastAsia"/>
                                  <w:color w:val="000000"/>
                                  <w:sz w:val="18"/>
                                  <w:szCs w:val="18"/>
                                </w:rPr>
                                <w:t>银行或上级财务部门出具的资金证明</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lang w:val="en-US" w:eastAsia="zh-CN"/>
                                </w:rPr>
                                <w:t>10.</w:t>
                              </w:r>
                              <w:r>
                                <w:rPr>
                                  <w:rFonts w:hint="eastAsia" w:asciiTheme="minorEastAsia" w:hAnsiTheme="minorEastAsia" w:eastAsiaTheme="minorEastAsia" w:cstheme="minorEastAsia"/>
                                  <w:color w:val="000000"/>
                                  <w:sz w:val="18"/>
                                  <w:szCs w:val="18"/>
                                </w:rPr>
                                <w:t>出具购置的设备票据或已有设备证明</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11.</w:t>
                              </w:r>
                              <w:r>
                                <w:rPr>
                                  <w:rFonts w:hint="eastAsia" w:asciiTheme="minorEastAsia" w:hAnsiTheme="minorEastAsia" w:eastAsiaTheme="minorEastAsia" w:cstheme="minorEastAsia"/>
                                  <w:color w:val="000000"/>
                                  <w:sz w:val="18"/>
                                  <w:szCs w:val="18"/>
                                </w:rPr>
                                <w:t>内部经营管理制度和章程</w:t>
                              </w:r>
                            </w:p>
                          </w:txbxContent>
                        </wps:txbx>
                        <wps:bodyPr upright="1"/>
                      </wps:wsp>
                      <wps:wsp>
                        <wps:cNvPr id="1841" name="矩形 5"/>
                        <wps:cNvSpPr/>
                        <wps:spPr>
                          <a:xfrm>
                            <a:off x="4140" y="5065"/>
                            <a:ext cx="2161" cy="1092"/>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受理</w:t>
                              </w:r>
                            </w:p>
                            <w:p>
                              <w:pPr>
                                <w:jc w:val="center"/>
                                <w:rPr>
                                  <w:rFonts w:hint="eastAsia"/>
                                </w:rPr>
                              </w:pPr>
                              <w:r>
                                <w:rPr>
                                  <w:rFonts w:hint="eastAsia"/>
                                </w:rPr>
                                <w:t>申请材料齐全，符合法定形式</w:t>
                              </w:r>
                            </w:p>
                          </w:txbxContent>
                        </wps:txbx>
                        <wps:bodyPr upright="1"/>
                      </wps:wsp>
                      <wps:wsp>
                        <wps:cNvPr id="1842" name="直接连接符 6"/>
                        <wps:cNvCnPr/>
                        <wps:spPr>
                          <a:xfrm flipH="1">
                            <a:off x="3420" y="5577"/>
                            <a:ext cx="720" cy="0"/>
                          </a:xfrm>
                          <a:prstGeom prst="line">
                            <a:avLst/>
                          </a:prstGeom>
                          <a:ln w="9525" cap="flat" cmpd="sng">
                            <a:solidFill>
                              <a:srgbClr val="000000"/>
                            </a:solidFill>
                            <a:prstDash val="solid"/>
                            <a:headEnd type="none" w="med" len="med"/>
                            <a:tailEnd type="triangle" w="med" len="med"/>
                          </a:ln>
                        </wps:spPr>
                        <wps:bodyPr upright="1"/>
                      </wps:wsp>
                      <wps:wsp>
                        <wps:cNvPr id="1843" name="矩形 7"/>
                        <wps:cNvSpPr/>
                        <wps:spPr>
                          <a:xfrm>
                            <a:off x="1411" y="4500"/>
                            <a:ext cx="1979" cy="218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不属于许可范畴或不属于本机关职权范围的，不予受理，出具《不予受理通知书》并说明理由</w:t>
                              </w:r>
                            </w:p>
                          </w:txbxContent>
                        </wps:txbx>
                        <wps:bodyPr upright="1"/>
                      </wps:wsp>
                      <wps:wsp>
                        <wps:cNvPr id="1844" name="矩形 9"/>
                        <wps:cNvSpPr/>
                        <wps:spPr>
                          <a:xfrm>
                            <a:off x="7650" y="5290"/>
                            <a:ext cx="2339" cy="202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材料不齐全或者不符合法定形式的一次性告知申请人补正材料。申请人按照要求提交全部补正申请材料的，予以受理</w:t>
                              </w:r>
                            </w:p>
                          </w:txbxContent>
                        </wps:txbx>
                        <wps:bodyPr upright="1"/>
                      </wps:wsp>
                      <wps:wsp>
                        <wps:cNvPr id="1845" name="矩形 10"/>
                        <wps:cNvSpPr/>
                        <wps:spPr>
                          <a:xfrm>
                            <a:off x="3480" y="7206"/>
                            <a:ext cx="3420" cy="1093"/>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审查</w:t>
                              </w:r>
                            </w:p>
                            <w:p>
                              <w:pPr>
                                <w:jc w:val="center"/>
                                <w:rPr>
                                  <w:rFonts w:hint="eastAsia"/>
                                </w:rPr>
                              </w:pPr>
                              <w:r>
                                <w:rPr>
                                  <w:rFonts w:hint="eastAsia"/>
                                </w:rPr>
                                <w:t>依法对申请人提交的申请材料进行审查，提出审查意见</w:t>
                              </w:r>
                            </w:p>
                          </w:txbxContent>
                        </wps:txbx>
                        <wps:bodyPr upright="1"/>
                      </wps:wsp>
                      <wps:wsp>
                        <wps:cNvPr id="1846" name="直接连接符 11"/>
                        <wps:cNvCnPr>
                          <a:stCxn id="11" idx="2"/>
                        </wps:cNvCnPr>
                        <wps:spPr>
                          <a:xfrm>
                            <a:off x="5190" y="8299"/>
                            <a:ext cx="6" cy="805"/>
                          </a:xfrm>
                          <a:prstGeom prst="line">
                            <a:avLst/>
                          </a:prstGeom>
                          <a:ln w="9525" cap="flat" cmpd="sng">
                            <a:solidFill>
                              <a:srgbClr val="000000"/>
                            </a:solidFill>
                            <a:prstDash val="solid"/>
                            <a:headEnd type="none" w="med" len="med"/>
                            <a:tailEnd type="triangle" w="med" len="med"/>
                          </a:ln>
                        </wps:spPr>
                        <wps:bodyPr upright="1"/>
                      </wps:wsp>
                      <wps:wsp>
                        <wps:cNvPr id="1847" name="直接连接符 12"/>
                        <wps:cNvCnPr>
                          <a:endCxn id="6" idx="0"/>
                        </wps:cNvCnPr>
                        <wps:spPr>
                          <a:xfrm flipH="1">
                            <a:off x="5221" y="1951"/>
                            <a:ext cx="12" cy="3114"/>
                          </a:xfrm>
                          <a:prstGeom prst="line">
                            <a:avLst/>
                          </a:prstGeom>
                          <a:ln w="9525" cap="flat" cmpd="sng">
                            <a:solidFill>
                              <a:srgbClr val="000000"/>
                            </a:solidFill>
                            <a:prstDash val="solid"/>
                            <a:headEnd type="none" w="med" len="med"/>
                            <a:tailEnd type="triangle" w="med" len="med"/>
                          </a:ln>
                        </wps:spPr>
                        <wps:bodyPr upright="1"/>
                      </wps:wsp>
                      <wps:wsp>
                        <wps:cNvPr id="1848" name="直接连接符 13"/>
                        <wps:cNvCnPr/>
                        <wps:spPr>
                          <a:xfrm>
                            <a:off x="6300" y="5640"/>
                            <a:ext cx="1348" cy="31"/>
                          </a:xfrm>
                          <a:prstGeom prst="line">
                            <a:avLst/>
                          </a:prstGeom>
                          <a:ln w="9525" cap="flat" cmpd="sng">
                            <a:solidFill>
                              <a:srgbClr val="000000"/>
                            </a:solidFill>
                            <a:prstDash val="solid"/>
                            <a:headEnd type="none" w="med" len="med"/>
                            <a:tailEnd type="triangle" w="med" len="med"/>
                          </a:ln>
                        </wps:spPr>
                        <wps:bodyPr upright="1"/>
                      </wps:wsp>
                      <wps:wsp>
                        <wps:cNvPr id="1849" name="矩形 14"/>
                        <wps:cNvSpPr/>
                        <wps:spPr>
                          <a:xfrm>
                            <a:off x="8010" y="7497"/>
                            <a:ext cx="1440" cy="15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听证</w:t>
                              </w:r>
                            </w:p>
                            <w:p>
                              <w:pPr>
                                <w:jc w:val="center"/>
                                <w:rPr>
                                  <w:rFonts w:hint="eastAsia"/>
                                </w:rPr>
                              </w:pPr>
                              <w:r>
                                <w:rPr>
                                  <w:rFonts w:hint="eastAsia"/>
                                </w:rPr>
                                <w:t>符合听证情形的，依法举行听证</w:t>
                              </w:r>
                            </w:p>
                          </w:txbxContent>
                        </wps:txbx>
                        <wps:bodyPr upright="1"/>
                      </wps:wsp>
                      <wps:wsp>
                        <wps:cNvPr id="1850" name="直接连接符 15"/>
                        <wps:cNvCnPr>
                          <a:stCxn id="10" idx="1"/>
                        </wps:cNvCnPr>
                        <wps:spPr>
                          <a:xfrm flipH="1">
                            <a:off x="6270" y="6304"/>
                            <a:ext cx="1380" cy="901"/>
                          </a:xfrm>
                          <a:prstGeom prst="line">
                            <a:avLst/>
                          </a:prstGeom>
                          <a:ln w="9525" cap="flat" cmpd="sng">
                            <a:solidFill>
                              <a:srgbClr val="000000"/>
                            </a:solidFill>
                            <a:prstDash val="solid"/>
                            <a:headEnd type="none" w="med" len="med"/>
                            <a:tailEnd type="triangle" w="med" len="med"/>
                          </a:ln>
                        </wps:spPr>
                        <wps:bodyPr upright="1"/>
                      </wps:wsp>
                      <wps:wsp>
                        <wps:cNvPr id="1851" name="矩形 16"/>
                        <wps:cNvSpPr/>
                        <wps:spPr>
                          <a:xfrm>
                            <a:off x="2490" y="9071"/>
                            <a:ext cx="5399" cy="1433"/>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决定</w:t>
                              </w:r>
                            </w:p>
                            <w:p>
                              <w:pPr>
                                <w:jc w:val="center"/>
                                <w:rPr>
                                  <w:rFonts w:hint="eastAsia"/>
                                </w:rPr>
                              </w:pPr>
                              <w:r>
                                <w:rPr>
                                  <w:rFonts w:hint="eastAsia"/>
                                </w:rPr>
                                <w:t>依法作出准于行政</w:t>
                              </w:r>
                              <w:r>
                                <w:rPr>
                                  <w:rFonts w:hint="eastAsia"/>
                                  <w:lang w:eastAsia="zh-CN"/>
                                </w:rPr>
                                <w:t>许可</w:t>
                              </w:r>
                              <w:r>
                                <w:rPr>
                                  <w:rFonts w:hint="eastAsia"/>
                                </w:rPr>
                                <w:t>或不予行政许可的书面决定；不予许可应当说明理由，并告知申请人享有依法申请行政复议或者提起诉讼的权利</w:t>
                              </w:r>
                            </w:p>
                          </w:txbxContent>
                        </wps:txbx>
                        <wps:bodyPr upright="1"/>
                      </wps:wsp>
                      <wps:wsp>
                        <wps:cNvPr id="1852" name="直接连接符 17"/>
                        <wps:cNvCnPr/>
                        <wps:spPr>
                          <a:xfrm flipH="1">
                            <a:off x="5211" y="10519"/>
                            <a:ext cx="9" cy="446"/>
                          </a:xfrm>
                          <a:prstGeom prst="line">
                            <a:avLst/>
                          </a:prstGeom>
                          <a:ln w="9525" cap="flat" cmpd="sng">
                            <a:solidFill>
                              <a:srgbClr val="000000"/>
                            </a:solidFill>
                            <a:prstDash val="solid"/>
                            <a:headEnd type="none" w="med" len="med"/>
                            <a:tailEnd type="triangle" w="med" len="med"/>
                          </a:ln>
                        </wps:spPr>
                        <wps:bodyPr upright="1"/>
                      </wps:wsp>
                      <wps:wsp>
                        <wps:cNvPr id="1853" name="矩形 18"/>
                        <wps:cNvSpPr/>
                        <wps:spPr>
                          <a:xfrm>
                            <a:off x="3555" y="10988"/>
                            <a:ext cx="3240" cy="9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送达</w:t>
                              </w:r>
                            </w:p>
                            <w:p>
                              <w:pPr>
                                <w:jc w:val="center"/>
                                <w:rPr>
                                  <w:rFonts w:hint="eastAsia"/>
                                </w:rPr>
                              </w:pPr>
                              <w:r>
                                <w:rPr>
                                  <w:rFonts w:hint="eastAsia"/>
                                </w:rPr>
                                <w:t>依法送达并公开行政许可决定</w:t>
                              </w:r>
                            </w:p>
                          </w:txbxContent>
                        </wps:txbx>
                        <wps:bodyPr upright="1"/>
                      </wps:wsp>
                      <wps:wsp>
                        <wps:cNvPr id="1854" name="直接连接符 12"/>
                        <wps:cNvCnPr/>
                        <wps:spPr>
                          <a:xfrm flipH="1">
                            <a:off x="5203" y="6163"/>
                            <a:ext cx="12" cy="1011"/>
                          </a:xfrm>
                          <a:prstGeom prst="line">
                            <a:avLst/>
                          </a:prstGeom>
                          <a:ln w="9525" cap="flat" cmpd="sng">
                            <a:solidFill>
                              <a:srgbClr val="000000"/>
                            </a:solidFill>
                            <a:prstDash val="solid"/>
                            <a:headEnd type="none" w="med" len="med"/>
                            <a:tailEnd type="triangle" w="med" len="med"/>
                          </a:ln>
                        </wps:spPr>
                        <wps:bodyPr upright="1"/>
                      </wps:wsp>
                      <wps:wsp>
                        <wps:cNvPr id="1855" name="直接连接符 2"/>
                        <wps:cNvCnPr/>
                        <wps:spPr>
                          <a:xfrm flipV="1">
                            <a:off x="6405" y="1549"/>
                            <a:ext cx="734" cy="11"/>
                          </a:xfrm>
                          <a:prstGeom prst="line">
                            <a:avLst/>
                          </a:prstGeom>
                          <a:ln w="9525" cap="flat" cmpd="sng">
                            <a:solidFill>
                              <a:srgbClr val="000000"/>
                            </a:solidFill>
                            <a:prstDash val="solid"/>
                            <a:headEnd type="none" w="med" len="med"/>
                            <a:tailEnd type="triangle" w="med" len="med"/>
                          </a:ln>
                        </wps:spPr>
                        <wps:bodyPr upright="1"/>
                      </wps:wsp>
                      <wps:wsp>
                        <wps:cNvPr id="1856" name="直接连接符 3"/>
                        <wps:cNvCnPr/>
                        <wps:spPr>
                          <a:xfrm>
                            <a:off x="6928" y="7843"/>
                            <a:ext cx="1079" cy="19"/>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44.2pt;margin-top:44.85pt;height:537.25pt;width:514.4pt;z-index:251659264;mso-width-relative:page;mso-height-relative:page;" coordorigin="1411,987" coordsize="10288,10926" o:gfxdata="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">
                <o:lock v:ext="edit" aspectratio="f"/>
                <v:rect id="矩形 1" o:spid="_x0000_s1026" o:spt="1" style="position:absolute;left:4260;top:1017;height:936;width:2161;" fillcolor="#FFFFFF" filled="t" stroked="t" coordsize="21600,21600" o:gfxdata="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yumfLsAAADd&#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jc w:val="center"/>
                          <w:rPr>
                            <w:rFonts w:hint="eastAsia"/>
                            <w:sz w:val="30"/>
                            <w:szCs w:val="30"/>
                          </w:rPr>
                        </w:pPr>
                        <w:r>
                          <w:rPr>
                            <w:rFonts w:hint="eastAsia"/>
                            <w:sz w:val="30"/>
                            <w:szCs w:val="30"/>
                          </w:rPr>
                          <w:t>申请</w:t>
                        </w:r>
                      </w:p>
                    </w:txbxContent>
                  </v:textbox>
                </v:rect>
                <v:rect id="矩形 3" o:spid="_x0000_s1026" o:spt="1" style="position:absolute;left:7126;top:987;height:4202;width:4573;" fillcolor="#FFFFFF" filled="t" stroked="t" coordsize="21600,21600" o:gfxdata="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IXfJy/&#10;AAAA3QAAAA8AAAAAAAAAAQAgAAAAIgAAAGRycy9kb3ducmV2LnhtbFBLAQIUABQAAAAIAIdO4kAz&#10;LwWeOwAAADkAAAAQAAAAAAAAAAEAIAAAAA4BAABkcnMvc2hhcGV4bWwueG1sUEsFBgAAAAAGAAYA&#10;WwEAALgD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应当提交的申请材料：</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1、申请书</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2</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color w:val="000000"/>
                            <w:sz w:val="18"/>
                            <w:szCs w:val="18"/>
                          </w:rPr>
                          <w:t>工商营业执照</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sz w:val="18"/>
                            <w:szCs w:val="18"/>
                            <w:lang w:val="en-US" w:eastAsia="zh-CN"/>
                          </w:rPr>
                          <w:t>3</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color w:val="000000"/>
                            <w:sz w:val="18"/>
                            <w:szCs w:val="18"/>
                          </w:rPr>
                          <w:t>申请单位上级主管部门批准文件</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sz w:val="18"/>
                            <w:szCs w:val="18"/>
                            <w:lang w:val="en-US" w:eastAsia="zh-CN"/>
                          </w:rPr>
                          <w:t>4</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color w:val="000000"/>
                            <w:sz w:val="18"/>
                            <w:szCs w:val="18"/>
                          </w:rPr>
                          <w:t>申请单位法人代表或主要负责人身份证和职称证书</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lang w:val="en-US" w:eastAsia="zh-CN"/>
                          </w:rPr>
                          <w:t>5.</w:t>
                        </w:r>
                        <w:r>
                          <w:rPr>
                            <w:rFonts w:hint="eastAsia" w:asciiTheme="minorEastAsia" w:hAnsiTheme="minorEastAsia" w:eastAsiaTheme="minorEastAsia" w:cstheme="minorEastAsia"/>
                            <w:color w:val="000000"/>
                            <w:sz w:val="18"/>
                            <w:szCs w:val="18"/>
                          </w:rPr>
                          <w:t>放映场所房产证明或合同书</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lang w:val="en-US" w:eastAsia="zh-CN"/>
                          </w:rPr>
                          <w:t>6.</w:t>
                        </w:r>
                        <w:r>
                          <w:rPr>
                            <w:rFonts w:hint="eastAsia" w:asciiTheme="minorEastAsia" w:hAnsiTheme="minorEastAsia" w:eastAsiaTheme="minorEastAsia" w:cstheme="minorEastAsia"/>
                            <w:color w:val="000000"/>
                            <w:sz w:val="18"/>
                            <w:szCs w:val="18"/>
                          </w:rPr>
                          <w:t>经营场所平面图</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lang w:val="en-US" w:eastAsia="zh-CN"/>
                          </w:rPr>
                          <w:t>7.</w:t>
                        </w:r>
                        <w:r>
                          <w:rPr>
                            <w:rFonts w:hint="eastAsia" w:asciiTheme="minorEastAsia" w:hAnsiTheme="minorEastAsia" w:eastAsiaTheme="minorEastAsia" w:cstheme="minorEastAsia"/>
                            <w:color w:val="000000"/>
                            <w:sz w:val="18"/>
                            <w:szCs w:val="18"/>
                          </w:rPr>
                          <w:t>公安消防部门出具的《消防安全合格证》和卫生部门出具的《卫生许可证》</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lang w:val="en-US" w:eastAsia="zh-CN"/>
                          </w:rPr>
                          <w:t>8.</w:t>
                        </w:r>
                        <w:r>
                          <w:rPr>
                            <w:rFonts w:hint="eastAsia" w:asciiTheme="minorEastAsia" w:hAnsiTheme="minorEastAsia" w:eastAsiaTheme="minorEastAsia" w:cstheme="minorEastAsia"/>
                            <w:color w:val="000000"/>
                            <w:sz w:val="18"/>
                            <w:szCs w:val="18"/>
                          </w:rPr>
                          <w:t>专业人员技术资格证或岗前培训证</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lang w:val="en-US" w:eastAsia="zh-CN"/>
                          </w:rPr>
                          <w:t>9.</w:t>
                        </w:r>
                        <w:r>
                          <w:rPr>
                            <w:rFonts w:hint="eastAsia" w:asciiTheme="minorEastAsia" w:hAnsiTheme="minorEastAsia" w:eastAsiaTheme="minorEastAsia" w:cstheme="minorEastAsia"/>
                            <w:color w:val="000000"/>
                            <w:sz w:val="18"/>
                            <w:szCs w:val="18"/>
                          </w:rPr>
                          <w:t>银行或上级财务部门出具的资金证明</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lang w:val="en-US" w:eastAsia="zh-CN"/>
                          </w:rPr>
                          <w:t>10.</w:t>
                        </w:r>
                        <w:r>
                          <w:rPr>
                            <w:rFonts w:hint="eastAsia" w:asciiTheme="minorEastAsia" w:hAnsiTheme="minorEastAsia" w:eastAsiaTheme="minorEastAsia" w:cstheme="minorEastAsia"/>
                            <w:color w:val="000000"/>
                            <w:sz w:val="18"/>
                            <w:szCs w:val="18"/>
                          </w:rPr>
                          <w:t>出具购置的设备票据或已有设备证明</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11.</w:t>
                        </w:r>
                        <w:r>
                          <w:rPr>
                            <w:rFonts w:hint="eastAsia" w:asciiTheme="minorEastAsia" w:hAnsiTheme="minorEastAsia" w:eastAsiaTheme="minorEastAsia" w:cstheme="minorEastAsia"/>
                            <w:color w:val="000000"/>
                            <w:sz w:val="18"/>
                            <w:szCs w:val="18"/>
                          </w:rPr>
                          <w:t>内部经营管理制度和章程</w:t>
                        </w:r>
                      </w:p>
                    </w:txbxContent>
                  </v:textbox>
                </v:rect>
                <v:rect id="矩形 5" o:spid="_x0000_s1026" o:spt="1" style="position:absolute;left:4140;top:5065;height:1092;width:2161;" fillcolor="#FFFFFF" filled="t" stroked="t" coordsize="21600,21600" o:gfxdata="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b2Qe8AAAA&#10;3Q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jc w:val="center"/>
                          <w:rPr>
                            <w:rFonts w:hint="eastAsia"/>
                          </w:rPr>
                        </w:pPr>
                        <w:r>
                          <w:rPr>
                            <w:rFonts w:hint="eastAsia"/>
                          </w:rPr>
                          <w:t>受理</w:t>
                        </w:r>
                      </w:p>
                      <w:p>
                        <w:pPr>
                          <w:jc w:val="center"/>
                          <w:rPr>
                            <w:rFonts w:hint="eastAsia"/>
                          </w:rPr>
                        </w:pPr>
                        <w:r>
                          <w:rPr>
                            <w:rFonts w:hint="eastAsia"/>
                          </w:rPr>
                          <w:t>申请材料齐全，符合法定形式</w:t>
                        </w:r>
                      </w:p>
                    </w:txbxContent>
                  </v:textbox>
                </v:rect>
                <v:line id="直接连接符 6" o:spid="_x0000_s1026" o:spt="20" style="position:absolute;left:3420;top:5577;flip:x;height:0;width:720;" filled="f" stroked="t" coordsize="21600,21600" o:gfxdata="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o3uEL4A&#10;AADd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7" o:spid="_x0000_s1026" o:spt="1" style="position:absolute;left:1411;top:4500;height:2184;width:1979;" fillcolor="#FFFFFF" filled="t" stroked="t" coordsize="21600,21600" o:gfxdata="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LF4uu8AAAA&#10;3Q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rPr>
                            <w:rFonts w:hint="eastAsia"/>
                          </w:rPr>
                        </w:pPr>
                        <w:r>
                          <w:rPr>
                            <w:rFonts w:hint="eastAsia"/>
                          </w:rPr>
                          <w:t>不属于许可范畴或不属于本机关职权范围的，不予受理，出具《不予受理通知书》并说明理由</w:t>
                        </w:r>
                      </w:p>
                    </w:txbxContent>
                  </v:textbox>
                </v:rect>
                <v:rect id="矩形 9" o:spid="_x0000_s1026" o:spt="1" style="position:absolute;left:7650;top:5290;height:2028;width:2339;" fillcolor="#FFFFFF" filled="t" stroked="t" coordsize="21600,21600" o:gfxdata="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0sep+8AAAA&#10;3Q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rPr>
                            <w:rFonts w:hint="eastAsia"/>
                          </w:rPr>
                        </w:pPr>
                        <w:r>
                          <w:rPr>
                            <w:rFonts w:hint="eastAsia"/>
                          </w:rPr>
                          <w:t>材料不齐全或者不符合法定形式的一次性告知申请人补正材料。申请人按照要求提交全部补正申请材料的，予以受理</w:t>
                        </w:r>
                      </w:p>
                    </w:txbxContent>
                  </v:textbox>
                </v:rect>
                <v:rect id="矩形 10" o:spid="_x0000_s1026" o:spt="1" style="position:absolute;left:3480;top:7206;height:1093;width:3420;" fillcolor="#FFFFFF" filled="t" stroked="t" coordsize="21600,21600" o:gfxdata="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SYN8EvQAA&#10;AN0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center"/>
                          <w:rPr>
                            <w:rFonts w:hint="eastAsia"/>
                          </w:rPr>
                        </w:pPr>
                        <w:r>
                          <w:rPr>
                            <w:rFonts w:hint="eastAsia"/>
                          </w:rPr>
                          <w:t>审查</w:t>
                        </w:r>
                      </w:p>
                      <w:p>
                        <w:pPr>
                          <w:jc w:val="center"/>
                          <w:rPr>
                            <w:rFonts w:hint="eastAsia"/>
                          </w:rPr>
                        </w:pPr>
                        <w:r>
                          <w:rPr>
                            <w:rFonts w:hint="eastAsia"/>
                          </w:rPr>
                          <w:t>依法对申请人提交的申请材料进行审查，提出审查意见</w:t>
                        </w:r>
                      </w:p>
                    </w:txbxContent>
                  </v:textbox>
                </v:rect>
                <v:line id="直接连接符 11" o:spid="_x0000_s1026" o:spt="20" style="position:absolute;left:5190;top:8299;height:805;width:6;" filled="f" stroked="t" coordsize="21600,21600" o:gfxdata="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A5174A&#10;AADd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接连接符 12" o:spid="_x0000_s1026" o:spt="20" style="position:absolute;left:5221;top:1951;flip:x;height:3114;width:12;" filled="f" stroked="t" coordsize="21600,21600" o:gfxdata="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vpNiL4A&#10;AADd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接连接符 13" o:spid="_x0000_s1026" o:spt="20" style="position:absolute;left:6300;top:5640;height:31;width:1348;" filled="f" stroked="t" coordsize="21600,21600" o:gfxdata="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HSMI&#10;PsEAAADdAAAADwAAAAAAAAABACAAAAAiAAAAZHJzL2Rvd25yZXYueG1sUEsBAhQAFAAAAAgAh07i&#10;QDMvBZ47AAAAOQAAABAAAAAAAAAAAQAgAAAAEAEAAGRycy9zaGFwZXhtbC54bWxQSwUGAAAAAAYA&#10;BgBbAQAAugMAAAAA&#10;">
                  <v:fill on="f" focussize="0,0"/>
                  <v:stroke color="#000000" joinstyle="round" endarrow="block"/>
                  <v:imagedata o:title=""/>
                  <o:lock v:ext="edit" aspectratio="f"/>
                </v:line>
                <v:rect id="矩形 14" o:spid="_x0000_s1026" o:spt="1" style="position:absolute;left:8010;top:7497;height:1560;width:1440;" fillcolor="#FFFFFF" filled="t" stroked="t" coordsize="21600,21600" o:gfxdata="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Mt1QG8AAAA&#10;3Q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jc w:val="center"/>
                          <w:rPr>
                            <w:rFonts w:hint="eastAsia"/>
                          </w:rPr>
                        </w:pPr>
                        <w:r>
                          <w:rPr>
                            <w:rFonts w:hint="eastAsia"/>
                          </w:rPr>
                          <w:t>听证</w:t>
                        </w:r>
                      </w:p>
                      <w:p>
                        <w:pPr>
                          <w:jc w:val="center"/>
                          <w:rPr>
                            <w:rFonts w:hint="eastAsia"/>
                          </w:rPr>
                        </w:pPr>
                        <w:r>
                          <w:rPr>
                            <w:rFonts w:hint="eastAsia"/>
                          </w:rPr>
                          <w:t>符合听证情形的，依法举行听证</w:t>
                        </w:r>
                      </w:p>
                    </w:txbxContent>
                  </v:textbox>
                </v:rect>
                <v:line id="直接连接符 15" o:spid="_x0000_s1026" o:spt="20" style="position:absolute;left:6270;top:6304;flip:x;height:901;width:1380;" filled="f" stroked="t" coordsize="21600,21600" o:gfxdata="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gykMh&#10;wAAAAN0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rect id="矩形 16" o:spid="_x0000_s1026" o:spt="1" style="position:absolute;left:2490;top:9071;height:1433;width:5399;" fillcolor="#FFFFFF" filled="t" stroked="t" coordsize="21600,21600" o:gfxdata="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iCT9q8AAAA&#10;3Q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jc w:val="center"/>
                          <w:rPr>
                            <w:rFonts w:hint="eastAsia"/>
                          </w:rPr>
                        </w:pPr>
                        <w:r>
                          <w:rPr>
                            <w:rFonts w:hint="eastAsia"/>
                          </w:rPr>
                          <w:t>决定</w:t>
                        </w:r>
                      </w:p>
                      <w:p>
                        <w:pPr>
                          <w:jc w:val="center"/>
                          <w:rPr>
                            <w:rFonts w:hint="eastAsia"/>
                          </w:rPr>
                        </w:pPr>
                        <w:r>
                          <w:rPr>
                            <w:rFonts w:hint="eastAsia"/>
                          </w:rPr>
                          <w:t>依法作出准于行政</w:t>
                        </w:r>
                        <w:r>
                          <w:rPr>
                            <w:rFonts w:hint="eastAsia"/>
                            <w:lang w:eastAsia="zh-CN"/>
                          </w:rPr>
                          <w:t>许可</w:t>
                        </w:r>
                        <w:r>
                          <w:rPr>
                            <w:rFonts w:hint="eastAsia"/>
                          </w:rPr>
                          <w:t>或不予行政许可的书面决定；不予许可应当说明理由，并告知申请人享有依法申请行政复议或者提起诉讼的权利</w:t>
                        </w:r>
                      </w:p>
                    </w:txbxContent>
                  </v:textbox>
                </v:rect>
                <v:line id="直接连接符 17" o:spid="_x0000_s1026" o:spt="20" style="position:absolute;left:5211;top:10519;flip:x;height:446;width:9;" filled="f" stroked="t" coordsize="21600,21600" o:gfxdata="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R4zb4A&#10;AADd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18" o:spid="_x0000_s1026" o:spt="1" style="position:absolute;left:3555;top:10988;height:925;width:3240;" fillcolor="#FFFFFF" filled="t" stroked="t" coordsize="21600,21600" o:gfxdata="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ccdDa8AAAA&#10;3Q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jc w:val="center"/>
                          <w:rPr>
                            <w:rFonts w:hint="eastAsia"/>
                          </w:rPr>
                        </w:pPr>
                        <w:r>
                          <w:rPr>
                            <w:rFonts w:hint="eastAsia"/>
                          </w:rPr>
                          <w:t>送达</w:t>
                        </w:r>
                      </w:p>
                      <w:p>
                        <w:pPr>
                          <w:jc w:val="center"/>
                          <w:rPr>
                            <w:rFonts w:hint="eastAsia"/>
                          </w:rPr>
                        </w:pPr>
                        <w:r>
                          <w:rPr>
                            <w:rFonts w:hint="eastAsia"/>
                          </w:rPr>
                          <w:t>依法送达并公开行政许可决定</w:t>
                        </w:r>
                      </w:p>
                    </w:txbxContent>
                  </v:textbox>
                </v:rect>
                <v:line id="直接连接符 12" o:spid="_x0000_s1026" o:spt="20" style="position:absolute;left:5203;top:6163;flip:x;height:1011;width:12;" filled="f" stroked="t" coordsize="21600,21600" o:gfxdata="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FFIr4A&#10;AADd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接连接符 2" o:spid="_x0000_s1026" o:spt="20" style="position:absolute;left:6405;top:1549;flip:y;height:11;width:734;" filled="f" stroked="t" coordsize="21600,21600" o:gfxdata="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L3gub4A&#10;AADd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接连接符 3" o:spid="_x0000_s1026" o:spt="20" style="position:absolute;left:6928;top:7843;height:19;width:1079;" filled="f" stroked="t" coordsize="21600,21600" o:gfxdata="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imvCr4A&#10;AADd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lang w:eastAsia="zh-CN"/>
        </w:rPr>
        <w:t>单位或者个体工商户通过互联网等信息网络从事出版物发行业务许可（零售）</w:t>
      </w:r>
      <w:r>
        <w:rPr>
          <w:rFonts w:hint="eastAsia" w:ascii="仿宋_GB2312" w:hAnsi="仿宋_GB2312" w:eastAsia="仿宋_GB2312" w:cs="仿宋_GB2312"/>
          <w:sz w:val="28"/>
          <w:szCs w:val="28"/>
          <w:lang w:val="en-US" w:eastAsia="zh-CN"/>
        </w:rPr>
        <w:t>）</w:t>
      </w:r>
    </w:p>
    <w:p>
      <w:pPr>
        <w:rPr>
          <w:rFonts w:hint="eastAsia" w:ascii="仿宋_GB2312" w:hAnsi="仿宋_GB2312" w:eastAsia="仿宋_GB2312" w:cs="仿宋_GB2312"/>
          <w:kern w:val="2"/>
          <w:sz w:val="28"/>
          <w:szCs w:val="28"/>
          <w:lang w:val="en-US" w:eastAsia="zh-CN" w:bidi="ar-SA"/>
        </w:rPr>
      </w:pPr>
    </w:p>
    <w:p>
      <w:pPr>
        <w:rPr>
          <w:rFonts w:hint="eastAsia" w:ascii="仿宋_GB2312" w:hAnsi="仿宋_GB2312" w:eastAsia="仿宋_GB2312" w:cs="仿宋_GB2312"/>
          <w:kern w:val="2"/>
          <w:sz w:val="28"/>
          <w:szCs w:val="28"/>
          <w:lang w:val="en-US" w:eastAsia="zh-CN" w:bidi="ar-SA"/>
        </w:rPr>
      </w:pPr>
    </w:p>
    <w:p>
      <w:pPr>
        <w:rPr>
          <w:rFonts w:hint="eastAsia" w:ascii="仿宋_GB2312" w:hAnsi="仿宋_GB2312" w:eastAsia="仿宋_GB2312" w:cs="仿宋_GB2312"/>
          <w:kern w:val="2"/>
          <w:sz w:val="28"/>
          <w:szCs w:val="28"/>
          <w:lang w:val="en-US" w:eastAsia="zh-CN" w:bidi="ar-SA"/>
        </w:rPr>
      </w:pPr>
    </w:p>
    <w:p>
      <w:pPr>
        <w:rPr>
          <w:rFonts w:hint="eastAsia" w:ascii="仿宋_GB2312" w:hAnsi="仿宋_GB2312" w:eastAsia="仿宋_GB2312" w:cs="仿宋_GB2312"/>
          <w:kern w:val="2"/>
          <w:sz w:val="28"/>
          <w:szCs w:val="28"/>
          <w:lang w:val="en-US" w:eastAsia="zh-CN" w:bidi="ar-SA"/>
        </w:rPr>
      </w:pPr>
      <w:bookmarkStart w:id="0" w:name="_GoBack"/>
      <w:bookmarkEnd w:id="0"/>
    </w:p>
    <w:p>
      <w:pPr>
        <w:rPr>
          <w:rFonts w:hint="eastAsia" w:ascii="仿宋_GB2312" w:hAnsi="仿宋_GB2312" w:eastAsia="仿宋_GB2312" w:cs="仿宋_GB2312"/>
          <w:kern w:val="2"/>
          <w:sz w:val="28"/>
          <w:szCs w:val="28"/>
          <w:lang w:val="en-US" w:eastAsia="zh-CN" w:bidi="ar-SA"/>
        </w:rPr>
      </w:pPr>
    </w:p>
    <w:p>
      <w:pPr>
        <w:rPr>
          <w:rFonts w:hint="eastAsia" w:ascii="仿宋_GB2312" w:hAnsi="仿宋_GB2312" w:eastAsia="仿宋_GB2312" w:cs="仿宋_GB2312"/>
          <w:kern w:val="2"/>
          <w:sz w:val="28"/>
          <w:szCs w:val="28"/>
          <w:lang w:val="en-US" w:eastAsia="zh-CN" w:bidi="ar-SA"/>
        </w:rPr>
      </w:pPr>
    </w:p>
    <w:p>
      <w:pPr>
        <w:rPr>
          <w:rFonts w:hint="eastAsia" w:ascii="仿宋_GB2312" w:hAnsi="仿宋_GB2312" w:eastAsia="仿宋_GB2312" w:cs="仿宋_GB2312"/>
          <w:kern w:val="2"/>
          <w:sz w:val="28"/>
          <w:szCs w:val="28"/>
          <w:lang w:val="en-US" w:eastAsia="zh-CN" w:bidi="ar-SA"/>
        </w:rPr>
      </w:pPr>
    </w:p>
    <w:p>
      <w:pPr>
        <w:rPr>
          <w:rFonts w:hint="eastAsia" w:ascii="仿宋_GB2312" w:hAnsi="仿宋_GB2312" w:eastAsia="仿宋_GB2312" w:cs="仿宋_GB2312"/>
          <w:kern w:val="2"/>
          <w:sz w:val="28"/>
          <w:szCs w:val="28"/>
          <w:lang w:val="en-US" w:eastAsia="zh-CN" w:bidi="ar-SA"/>
        </w:rPr>
      </w:pPr>
    </w:p>
    <w:p>
      <w:pPr>
        <w:rPr>
          <w:rFonts w:hint="eastAsia" w:ascii="仿宋_GB2312" w:hAnsi="仿宋_GB2312" w:eastAsia="仿宋_GB2312" w:cs="仿宋_GB2312"/>
          <w:kern w:val="2"/>
          <w:sz w:val="28"/>
          <w:szCs w:val="28"/>
          <w:lang w:val="en-US" w:eastAsia="zh-CN" w:bidi="ar-SA"/>
        </w:rPr>
      </w:pPr>
    </w:p>
    <w:p>
      <w:pPr>
        <w:rPr>
          <w:rFonts w:hint="eastAsia" w:ascii="仿宋_GB2312" w:hAnsi="仿宋_GB2312" w:eastAsia="仿宋_GB2312" w:cs="仿宋_GB2312"/>
          <w:kern w:val="2"/>
          <w:sz w:val="28"/>
          <w:szCs w:val="28"/>
          <w:lang w:val="en-US" w:eastAsia="zh-CN" w:bidi="ar-SA"/>
        </w:rPr>
      </w:pPr>
    </w:p>
    <w:p>
      <w:pPr>
        <w:rPr>
          <w:rFonts w:hint="eastAsia" w:ascii="仿宋_GB2312" w:hAnsi="仿宋_GB2312" w:eastAsia="仿宋_GB2312" w:cs="仿宋_GB2312"/>
          <w:kern w:val="2"/>
          <w:sz w:val="28"/>
          <w:szCs w:val="28"/>
          <w:lang w:val="en-US" w:eastAsia="zh-CN" w:bidi="ar-SA"/>
        </w:rPr>
      </w:pPr>
    </w:p>
    <w:p>
      <w:pPr>
        <w:rPr>
          <w:rFonts w:hint="eastAsia" w:ascii="仿宋_GB2312" w:hAnsi="仿宋_GB2312" w:eastAsia="仿宋_GB2312" w:cs="仿宋_GB2312"/>
          <w:kern w:val="2"/>
          <w:sz w:val="28"/>
          <w:szCs w:val="28"/>
          <w:lang w:val="en-US" w:eastAsia="zh-CN" w:bidi="ar-SA"/>
        </w:rPr>
      </w:pPr>
    </w:p>
    <w:p>
      <w:pPr>
        <w:rPr>
          <w:rFonts w:hint="eastAsia" w:ascii="仿宋_GB2312" w:hAnsi="仿宋_GB2312" w:eastAsia="仿宋_GB2312" w:cs="仿宋_GB2312"/>
          <w:kern w:val="2"/>
          <w:sz w:val="28"/>
          <w:szCs w:val="28"/>
          <w:lang w:val="en-US" w:eastAsia="zh-CN" w:bidi="ar-SA"/>
        </w:rPr>
      </w:pPr>
    </w:p>
    <w:p>
      <w:pPr>
        <w:rPr>
          <w:rFonts w:hint="eastAsia" w:ascii="仿宋_GB2312" w:hAnsi="仿宋_GB2312" w:eastAsia="仿宋_GB2312" w:cs="仿宋_GB2312"/>
          <w:kern w:val="2"/>
          <w:sz w:val="28"/>
          <w:szCs w:val="28"/>
          <w:lang w:val="en-US" w:eastAsia="zh-CN" w:bidi="ar-SA"/>
        </w:rPr>
      </w:pPr>
    </w:p>
    <w:p>
      <w:pPr>
        <w:rPr>
          <w:rFonts w:hint="eastAsia" w:ascii="仿宋_GB2312" w:hAnsi="仿宋_GB2312" w:eastAsia="仿宋_GB2312" w:cs="仿宋_GB2312"/>
          <w:kern w:val="2"/>
          <w:sz w:val="28"/>
          <w:szCs w:val="28"/>
          <w:lang w:val="en-US" w:eastAsia="zh-CN" w:bidi="ar-SA"/>
        </w:rPr>
      </w:pPr>
    </w:p>
    <w:p>
      <w:pPr>
        <w:rPr>
          <w:rFonts w:hint="eastAsia" w:ascii="仿宋_GB2312" w:hAnsi="仿宋_GB2312" w:eastAsia="仿宋_GB2312" w:cs="仿宋_GB2312"/>
          <w:kern w:val="2"/>
          <w:sz w:val="28"/>
          <w:szCs w:val="28"/>
          <w:lang w:val="en-US" w:eastAsia="zh-CN" w:bidi="ar-SA"/>
        </w:rPr>
      </w:pPr>
    </w:p>
    <w:p>
      <w:pPr>
        <w:rPr>
          <w:rFonts w:hint="eastAsia" w:ascii="仿宋_GB2312" w:hAnsi="仿宋_GB2312" w:eastAsia="仿宋_GB2312" w:cs="仿宋_GB2312"/>
          <w:kern w:val="2"/>
          <w:sz w:val="28"/>
          <w:szCs w:val="28"/>
          <w:lang w:val="en-US" w:eastAsia="zh-CN" w:bidi="ar-SA"/>
        </w:rPr>
      </w:pPr>
    </w:p>
    <w:p>
      <w:pPr>
        <w:rPr>
          <w:rFonts w:hint="eastAsia" w:ascii="仿宋_GB2312" w:hAnsi="仿宋_GB2312" w:eastAsia="仿宋_GB2312" w:cs="仿宋_GB2312"/>
          <w:kern w:val="2"/>
          <w:sz w:val="28"/>
          <w:szCs w:val="28"/>
          <w:lang w:val="en-US" w:eastAsia="zh-CN" w:bidi="ar-SA"/>
        </w:rPr>
      </w:pPr>
    </w:p>
    <w:p>
      <w:pPr>
        <w:spacing w:line="300" w:lineRule="exact"/>
        <w:rPr>
          <w:sz w:val="21"/>
          <w:szCs w:val="21"/>
        </w:rPr>
      </w:pPr>
      <w:r>
        <w:rPr>
          <w:rFonts w:hint="eastAsia" w:hAnsi="宋体"/>
          <w:sz w:val="21"/>
          <w:szCs w:val="21"/>
        </w:rPr>
        <w:t>办理机构：</w:t>
      </w:r>
      <w:r>
        <w:rPr>
          <w:rFonts w:hint="eastAsia" w:hAnsi="宋体"/>
          <w:sz w:val="21"/>
          <w:szCs w:val="21"/>
          <w:lang w:eastAsia="zh-CN"/>
        </w:rPr>
        <w:t>新闻出版局</w:t>
      </w:r>
      <w:r>
        <w:rPr>
          <w:rFonts w:hint="eastAsia" w:hAnsi="宋体"/>
          <w:sz w:val="21"/>
          <w:szCs w:val="21"/>
        </w:rPr>
        <w:t xml:space="preserve">    </w:t>
      </w:r>
    </w:p>
    <w:p>
      <w:pPr>
        <w:tabs>
          <w:tab w:val="left" w:pos="2430"/>
        </w:tabs>
        <w:spacing w:line="300" w:lineRule="exact"/>
        <w:rPr>
          <w:rFonts w:hint="eastAsia"/>
          <w:sz w:val="21"/>
          <w:szCs w:val="21"/>
          <w:lang w:val="en-US" w:eastAsia="zh-CN"/>
        </w:rPr>
      </w:pPr>
      <w:r>
        <w:rPr>
          <w:rFonts w:hint="eastAsia" w:hAnsi="宋体"/>
          <w:sz w:val="21"/>
          <w:szCs w:val="21"/>
        </w:rPr>
        <w:t>业务电话：</w:t>
      </w:r>
      <w:r>
        <w:rPr>
          <w:rFonts w:hint="eastAsia"/>
          <w:sz w:val="21"/>
          <w:szCs w:val="21"/>
          <w:lang w:val="en-US" w:eastAsia="zh-CN"/>
        </w:rPr>
        <w:t>0357-7522275</w:t>
      </w:r>
    </w:p>
    <w:p>
      <w:pPr>
        <w:tabs>
          <w:tab w:val="left" w:pos="2430"/>
        </w:tabs>
        <w:spacing w:line="300" w:lineRule="exact"/>
        <w:rPr>
          <w:rFonts w:hint="eastAsia"/>
          <w:sz w:val="21"/>
          <w:szCs w:val="21"/>
          <w:lang w:val="en-US" w:eastAsia="zh-CN"/>
        </w:rPr>
      </w:pPr>
      <w:r>
        <w:rPr>
          <w:rFonts w:hint="eastAsia"/>
          <w:sz w:val="21"/>
          <w:szCs w:val="21"/>
          <w:lang w:val="en-US" w:eastAsia="zh-CN"/>
        </w:rPr>
        <w:t>法定期限：10个工作日（不含听证、招标、拍卖、检验、检测、鉴定和专家评审等时间）</w:t>
      </w:r>
    </w:p>
    <w:p>
      <w:pPr>
        <w:tabs>
          <w:tab w:val="left" w:pos="2430"/>
        </w:tabs>
        <w:spacing w:line="300" w:lineRule="exact"/>
      </w:pPr>
      <w:r>
        <w:rPr>
          <w:rFonts w:hint="eastAsia"/>
          <w:sz w:val="21"/>
          <w:szCs w:val="21"/>
          <w:lang w:val="en-US" w:eastAsia="zh-CN"/>
        </w:rPr>
        <w:t>承诺期限：7个工作日（不含听证、招标、拍卖、检验、检测、鉴定和专家评审等时间）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FC2476"/>
    <w:rsid w:val="0AFC2476"/>
    <w:rsid w:val="58AC0410"/>
    <w:rsid w:val="5CA4374E"/>
    <w:rsid w:val="75F851E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left"/>
      <w:outlineLvl w:val="0"/>
    </w:pPr>
    <w:rPr>
      <w:rFonts w:eastAsia="微软雅黑" w:asciiTheme="minorAscii" w:hAnsiTheme="minorAscii"/>
      <w:b/>
      <w:kern w:val="44"/>
      <w:sz w:val="44"/>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2019-07-20T03:17:00Z</dcterms:created>
  <dc:creator>yyyzzz</dc:creator>
  <cp:lastModifiedBy>*~*</cp:lastModifiedBy>
  <dcterms:modified xsi:type="dcterms:W3CDTF">2021-10-14T02:44:36Z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E93505ADB0F84C3D9621ADD52409114A</vt:lpwstr>
  </property>
</Properties>
</file>