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44"/>
          <w:szCs w:val="72"/>
          <w:u w:val="none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72"/>
          <w:u w:val="none"/>
          <w:lang w:val="en-US" w:eastAsia="zh-CN"/>
        </w:rPr>
        <w:t>永和县行政审批服务管理局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72"/>
          <w:u w:val="none"/>
        </w:rPr>
        <w:t>公共资源交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44"/>
          <w:szCs w:val="72"/>
          <w:u w:val="none"/>
        </w:rPr>
        <w:t>易领域基层政务公开标准目录</w:t>
      </w:r>
    </w:p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 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财政部门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财政部门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056D74-F127-4BEF-B355-ABEA86DEE9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4659DF3-4E8F-4939-A111-8AFE5EC3E6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27A7D43-A90E-41CA-B78B-EF7BFDBD3833}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BA43ED3"/>
    <w:rsid w:val="24C72154"/>
    <w:rsid w:val="2AF96B86"/>
    <w:rsid w:val="39A52696"/>
    <w:rsid w:val="520E47DF"/>
    <w:rsid w:val="66F50F8F"/>
    <w:rsid w:val="797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幸福小伙子</cp:lastModifiedBy>
  <dcterms:modified xsi:type="dcterms:W3CDTF">2020-11-10T06:58:22Z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