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1" w:name="_GoBack"/>
      <w:bookmarkStart w:id="0" w:name="_Toc24724714"/>
      <w:r>
        <w:rPr>
          <w:rFonts w:hint="eastAsia" w:ascii="方正小标宋_GBK" w:hAnsi="方正小标宋_GBK" w:eastAsia="方正小标宋_GBK"/>
          <w:b w:val="0"/>
          <w:bCs w:val="0"/>
          <w:sz w:val="30"/>
          <w:lang w:val="en-US" w:eastAsia="zh-CN"/>
        </w:rPr>
        <w:t>南庄乡</w:t>
      </w:r>
      <w:r>
        <w:rPr>
          <w:rFonts w:ascii="方正小标宋_GBK" w:hAnsi="方正小标宋_GBK" w:eastAsia="方正小标宋_GBK"/>
          <w:b w:val="0"/>
          <w:bCs w:val="0"/>
          <w:sz w:val="30"/>
        </w:rPr>
        <w:t>城乡规划</w:t>
      </w:r>
      <w:r>
        <w:rPr>
          <w:rFonts w:hint="eastAsia" w:ascii="方正小标宋_GBK" w:hAnsi="方正小标宋_GBK" w:eastAsia="方正小标宋_GBK"/>
          <w:b w:val="0"/>
          <w:bCs w:val="0"/>
          <w:sz w:val="30"/>
        </w:rPr>
        <w:t>领域基层政务公开标准目录</w:t>
      </w:r>
      <w:bookmarkEnd w:id="0"/>
    </w:p>
    <w:bookmarkEnd w:id="1"/>
    <w:tbl>
      <w:tblPr>
        <w:tblStyle w:val="3"/>
        <w:tblW w:w="15716"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80"/>
        <w:gridCol w:w="1800"/>
        <w:gridCol w:w="2160"/>
        <w:gridCol w:w="1440"/>
        <w:gridCol w:w="1080"/>
        <w:gridCol w:w="2756"/>
        <w:gridCol w:w="720"/>
        <w:gridCol w:w="709"/>
        <w:gridCol w:w="551"/>
        <w:gridCol w:w="72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80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8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16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756"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left"/>
              <w:rPr>
                <w:rFonts w:ascii="Times New Roman" w:hAnsi="Times New Roman"/>
                <w:color w:val="000000"/>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800" w:type="dxa"/>
            <w:vMerge w:val="continue"/>
            <w:noWrap w:val="0"/>
            <w:vAlign w:val="center"/>
          </w:tcPr>
          <w:p>
            <w:pPr>
              <w:widowControl/>
              <w:jc w:val="left"/>
              <w:rPr>
                <w:rFonts w:ascii="黑体" w:hAnsi="宋体" w:eastAsia="黑体" w:cs="宋体"/>
                <w:color w:val="000000"/>
                <w:kern w:val="0"/>
                <w:sz w:val="22"/>
              </w:rPr>
            </w:pPr>
          </w:p>
        </w:tc>
        <w:tc>
          <w:tcPr>
            <w:tcW w:w="2160" w:type="dxa"/>
            <w:vMerge w:val="continue"/>
            <w:noWrap w:val="0"/>
            <w:vAlign w:val="center"/>
          </w:tcPr>
          <w:p>
            <w:pPr>
              <w:widowControl/>
              <w:jc w:val="left"/>
              <w:rPr>
                <w:rFonts w:ascii="黑体" w:hAnsi="宋体" w:eastAsia="黑体" w:cs="宋体"/>
                <w:color w:val="000000"/>
                <w:kern w:val="0"/>
                <w:sz w:val="22"/>
              </w:rPr>
            </w:pPr>
          </w:p>
        </w:tc>
        <w:tc>
          <w:tcPr>
            <w:tcW w:w="1440" w:type="dxa"/>
            <w:vMerge w:val="continue"/>
            <w:noWrap w:val="0"/>
            <w:vAlign w:val="center"/>
          </w:tcPr>
          <w:p>
            <w:pPr>
              <w:widowControl/>
              <w:jc w:val="left"/>
              <w:rPr>
                <w:rFonts w:ascii="黑体" w:hAnsi="宋体" w:eastAsia="黑体" w:cs="宋体"/>
                <w:color w:val="000000"/>
                <w:kern w:val="0"/>
                <w:sz w:val="22"/>
              </w:rPr>
            </w:pPr>
          </w:p>
        </w:tc>
        <w:tc>
          <w:tcPr>
            <w:tcW w:w="1080" w:type="dxa"/>
            <w:vMerge w:val="continue"/>
            <w:noWrap w:val="0"/>
            <w:vAlign w:val="center"/>
          </w:tcPr>
          <w:p>
            <w:pPr>
              <w:widowControl/>
              <w:jc w:val="left"/>
              <w:rPr>
                <w:rFonts w:ascii="黑体" w:hAnsi="宋体" w:eastAsia="黑体" w:cs="宋体"/>
                <w:color w:val="000000"/>
                <w:kern w:val="0"/>
                <w:sz w:val="22"/>
              </w:rPr>
            </w:pPr>
          </w:p>
        </w:tc>
        <w:tc>
          <w:tcPr>
            <w:tcW w:w="2756"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14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noWrap w:val="0"/>
            <w:vAlign w:val="center"/>
          </w:tcPr>
          <w:p>
            <w:pPr>
              <w:widowControl/>
              <w:jc w:val="center"/>
              <w:rPr>
                <w:rFonts w:hint="eastAsia" w:ascii="仿宋_GB2312" w:hAnsi="宋体" w:eastAsia="仿宋_GB2312"/>
                <w:color w:val="000000"/>
                <w:sz w:val="18"/>
                <w:szCs w:val="18"/>
              </w:rPr>
            </w:pPr>
            <w:r>
              <w:rPr>
                <w:rFonts w:ascii="仿宋_GB2312" w:hAnsi="宋体" w:eastAsia="仿宋_GB2312"/>
                <w:color w:val="000000"/>
                <w:sz w:val="18"/>
                <w:szCs w:val="18"/>
              </w:rPr>
              <w:t>公共</w:t>
            </w:r>
          </w:p>
          <w:p>
            <w:pPr>
              <w:widowControl/>
              <w:jc w:val="center"/>
              <w:rPr>
                <w:rFonts w:hint="eastAsia" w:ascii="仿宋_GB2312" w:hAnsi="宋体" w:eastAsia="仿宋_GB2312"/>
                <w:color w:val="000000"/>
                <w:sz w:val="18"/>
                <w:szCs w:val="18"/>
              </w:rPr>
            </w:pPr>
            <w:r>
              <w:rPr>
                <w:rFonts w:ascii="仿宋_GB2312" w:hAnsi="宋体" w:eastAsia="仿宋_GB2312"/>
                <w:color w:val="000000"/>
                <w:sz w:val="18"/>
                <w:szCs w:val="18"/>
              </w:rPr>
              <w:t>服务</w:t>
            </w: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法规文件</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城乡规划领域相关法律、法规、规章、规范性文件</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乡人民政府</w:t>
            </w:r>
          </w:p>
        </w:tc>
        <w:tc>
          <w:tcPr>
            <w:tcW w:w="2756" w:type="dxa"/>
            <w:noWrap w:val="0"/>
            <w:vAlign w:val="center"/>
          </w:tcPr>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hint="eastAsia" w:ascii="仿宋_GB2312" w:hAnsi="宋体" w:eastAsia="仿宋_GB2312"/>
                <w:color w:val="000000"/>
                <w:sz w:val="18"/>
                <w:szCs w:val="18"/>
              </w:rPr>
            </w:pPr>
            <w:r>
              <w:rPr>
                <w:rFonts w:ascii="仿宋_GB2312" w:hAnsi="宋体" w:eastAsia="仿宋_GB2312"/>
                <w:color w:val="000000"/>
                <w:sz w:val="18"/>
                <w:szCs w:val="18"/>
              </w:rPr>
              <w:t>■纸质载体</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■公开查阅点</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■政府服务中心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noWrap w:val="0"/>
            <w:vAlign w:val="center"/>
          </w:tcPr>
          <w:p>
            <w:pPr>
              <w:jc w:val="left"/>
              <w:rPr>
                <w:rFonts w:ascii="仿宋_GB2312" w:hAnsi="宋体" w:eastAsia="仿宋_GB2312"/>
                <w:color w:val="000000"/>
                <w:sz w:val="18"/>
                <w:szCs w:val="18"/>
              </w:rPr>
            </w:pP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政民互动</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城乡规划事项的意见征集、咨询、信访等</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《政府信息公开条例》</w:t>
            </w: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实时公开</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w:t>
            </w:r>
          </w:p>
        </w:tc>
        <w:tc>
          <w:tcPr>
            <w:tcW w:w="2756" w:type="dxa"/>
            <w:noWrap w:val="0"/>
            <w:vAlign w:val="center"/>
          </w:tcPr>
          <w:p>
            <w:pPr>
              <w:widowControl/>
              <w:rPr>
                <w:rFonts w:hint="eastAsia"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left"/>
              <w:rPr>
                <w:rFonts w:ascii="仿宋_GB2312" w:hAnsi="宋体" w:eastAsia="仿宋_GB2312"/>
                <w:color w:val="000000"/>
                <w:sz w:val="18"/>
                <w:szCs w:val="18"/>
              </w:rPr>
            </w:pPr>
            <w:r>
              <w:rPr>
                <w:rFonts w:ascii="仿宋_GB2312" w:hAnsi="宋体" w:eastAsia="仿宋_GB2312"/>
                <w:color w:val="000000"/>
                <w:sz w:val="18"/>
                <w:szCs w:val="18"/>
              </w:rPr>
              <w:t xml:space="preserve">■广播电视 </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■公开查阅点■政府服务中心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continue"/>
            <w:noWrap w:val="0"/>
            <w:vAlign w:val="center"/>
          </w:tcPr>
          <w:p>
            <w:pPr>
              <w:widowControl/>
              <w:jc w:val="left"/>
              <w:rPr>
                <w:rFonts w:ascii="仿宋_GB2312" w:hAnsi="宋体" w:eastAsia="仿宋_GB2312"/>
                <w:color w:val="000000"/>
                <w:sz w:val="18"/>
                <w:szCs w:val="18"/>
              </w:rPr>
            </w:pP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办事服务</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行政许可的事项、依据、条件、数量、程序、期限以及申请行政许可需要提交的全部材料目录</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《政府信息公开条例》</w:t>
            </w: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实时公开</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w:t>
            </w:r>
          </w:p>
        </w:tc>
        <w:tc>
          <w:tcPr>
            <w:tcW w:w="2756"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■公开查阅点■政府服务中心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restart"/>
            <w:noWrap w:val="0"/>
            <w:vAlign w:val="center"/>
          </w:tcPr>
          <w:p>
            <w:pPr>
              <w:jc w:val="left"/>
              <w:rPr>
                <w:rFonts w:hint="eastAsia" w:ascii="仿宋_GB2312" w:hAnsi="宋体" w:eastAsia="仿宋_GB2312"/>
                <w:color w:val="000000"/>
                <w:sz w:val="18"/>
                <w:szCs w:val="18"/>
              </w:rPr>
            </w:pPr>
            <w:r>
              <w:rPr>
                <w:rFonts w:ascii="仿宋_GB2312" w:hAnsi="宋体" w:eastAsia="仿宋_GB2312"/>
                <w:color w:val="000000"/>
                <w:sz w:val="18"/>
                <w:szCs w:val="18"/>
              </w:rPr>
              <w:t>规划编制</w:t>
            </w:r>
          </w:p>
        </w:tc>
        <w:tc>
          <w:tcPr>
            <w:tcW w:w="108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城市、</w:t>
            </w:r>
            <w:r>
              <w:rPr>
                <w:rFonts w:hint="eastAsia" w:ascii="仿宋_GB2312" w:hAnsi="宋体" w:eastAsia="仿宋_GB2312"/>
                <w:color w:val="000000"/>
                <w:sz w:val="18"/>
                <w:szCs w:val="18"/>
                <w:lang w:val="en-US" w:eastAsia="zh-CN"/>
              </w:rPr>
              <w:t>乡</w:t>
            </w:r>
            <w:r>
              <w:rPr>
                <w:rFonts w:hint="eastAsia" w:ascii="仿宋_GB2312" w:hAnsi="宋体" w:eastAsia="仿宋_GB2312"/>
                <w:color w:val="000000"/>
                <w:sz w:val="18"/>
                <w:szCs w:val="18"/>
              </w:rPr>
              <w:t>总体规划及同级的土地利用规划</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规划批准文件、脱密后的文本</w:t>
            </w:r>
            <w:r>
              <w:rPr>
                <w:rFonts w:hint="eastAsia" w:ascii="仿宋_GB2312" w:hAnsi="宋体" w:eastAsia="仿宋_GB2312"/>
                <w:color w:val="000000"/>
                <w:sz w:val="18"/>
                <w:szCs w:val="18"/>
              </w:rPr>
              <w:t>及</w:t>
            </w:r>
            <w:r>
              <w:rPr>
                <w:rFonts w:ascii="仿宋_GB2312" w:hAnsi="宋体" w:eastAsia="仿宋_GB2312"/>
                <w:color w:val="000000"/>
                <w:sz w:val="18"/>
                <w:szCs w:val="18"/>
              </w:rPr>
              <w:t>图</w:t>
            </w:r>
            <w:r>
              <w:rPr>
                <w:rFonts w:hint="eastAsia" w:ascii="仿宋_GB2312" w:hAnsi="宋体" w:eastAsia="仿宋_GB2312"/>
                <w:color w:val="000000"/>
                <w:sz w:val="18"/>
                <w:szCs w:val="18"/>
              </w:rPr>
              <w:t>纸</w:t>
            </w:r>
            <w:r>
              <w:rPr>
                <w:rFonts w:ascii="仿宋_GB2312" w:hAnsi="宋体" w:eastAsia="仿宋_GB2312"/>
                <w:color w:val="000000"/>
                <w:sz w:val="18"/>
                <w:szCs w:val="18"/>
              </w:rPr>
              <w:t>等</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《土地管理法》</w:t>
            </w:r>
            <w:r>
              <w:rPr>
                <w:rFonts w:hint="eastAsia" w:ascii="仿宋_GB2312" w:hAnsi="宋体" w:eastAsia="仿宋_GB2312"/>
                <w:color w:val="000000"/>
                <w:sz w:val="18"/>
                <w:szCs w:val="18"/>
              </w:rPr>
              <w:t>、</w:t>
            </w: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w:t>
            </w:r>
          </w:p>
        </w:tc>
        <w:tc>
          <w:tcPr>
            <w:tcW w:w="2756" w:type="dxa"/>
            <w:noWrap w:val="0"/>
            <w:vAlign w:val="center"/>
          </w:tcPr>
          <w:p>
            <w:pPr>
              <w:widowControl/>
              <w:rPr>
                <w:rFonts w:hint="eastAsia"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p>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■公开查阅点</w:t>
            </w:r>
            <w:r>
              <w:rPr>
                <w:rFonts w:hint="eastAsia" w:ascii="仿宋_GB2312" w:hAnsi="宋体" w:eastAsia="仿宋_GB2312"/>
                <w:color w:val="000000"/>
                <w:sz w:val="18"/>
                <w:szCs w:val="18"/>
              </w:rPr>
              <w:br w:type="textWrapping"/>
            </w:r>
            <w:r>
              <w:rPr>
                <w:rFonts w:ascii="仿宋_GB2312" w:hAnsi="宋体" w:eastAsia="仿宋_GB2312"/>
                <w:color w:val="000000"/>
                <w:sz w:val="18"/>
                <w:szCs w:val="18"/>
              </w:rPr>
              <w:t>■政府服务中心</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hint="eastAsia"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continue"/>
            <w:noWrap w:val="0"/>
            <w:vAlign w:val="center"/>
          </w:tcPr>
          <w:p>
            <w:pPr>
              <w:jc w:val="center"/>
              <w:rPr>
                <w:rFonts w:ascii="仿宋_GB2312" w:hAnsi="宋体" w:eastAsia="仿宋_GB2312"/>
                <w:color w:val="000000"/>
                <w:sz w:val="18"/>
                <w:szCs w:val="18"/>
              </w:rPr>
            </w:pPr>
          </w:p>
        </w:tc>
        <w:tc>
          <w:tcPr>
            <w:tcW w:w="108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乡规划及同级的土地利用规划</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脱密后的文本</w:t>
            </w:r>
            <w:r>
              <w:rPr>
                <w:rFonts w:hint="eastAsia" w:ascii="仿宋_GB2312" w:hAnsi="宋体" w:eastAsia="仿宋_GB2312"/>
                <w:color w:val="000000"/>
                <w:sz w:val="18"/>
                <w:szCs w:val="18"/>
              </w:rPr>
              <w:t>及图纸</w:t>
            </w:r>
            <w:r>
              <w:rPr>
                <w:rFonts w:ascii="仿宋_GB2312" w:hAnsi="宋体" w:eastAsia="仿宋_GB2312"/>
                <w:color w:val="000000"/>
                <w:sz w:val="18"/>
                <w:szCs w:val="18"/>
              </w:rPr>
              <w:t>等</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《土地管理法》</w:t>
            </w:r>
            <w:r>
              <w:rPr>
                <w:rFonts w:hint="eastAsia" w:ascii="仿宋_GB2312" w:hAnsi="宋体" w:eastAsia="仿宋_GB2312"/>
                <w:color w:val="000000"/>
                <w:sz w:val="18"/>
                <w:szCs w:val="18"/>
              </w:rPr>
              <w:t>、</w:t>
            </w: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w:t>
            </w:r>
          </w:p>
        </w:tc>
        <w:tc>
          <w:tcPr>
            <w:tcW w:w="2756"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p>
          <w:p>
            <w:pPr>
              <w:widowControl/>
              <w:rPr>
                <w:rFonts w:hint="eastAsia" w:ascii="仿宋_GB2312" w:hAnsi="宋体" w:eastAsia="仿宋_GB2312"/>
                <w:color w:val="000000"/>
                <w:sz w:val="18"/>
                <w:szCs w:val="18"/>
              </w:rPr>
            </w:pPr>
            <w:r>
              <w:rPr>
                <w:rFonts w:ascii="仿宋_GB2312" w:hAnsi="宋体" w:eastAsia="仿宋_GB2312"/>
                <w:color w:val="000000"/>
                <w:sz w:val="18"/>
                <w:szCs w:val="18"/>
              </w:rPr>
              <w:t>■公开查阅点■政府服务中心</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hint="eastAsia"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continue"/>
            <w:noWrap w:val="0"/>
            <w:vAlign w:val="center"/>
          </w:tcPr>
          <w:p>
            <w:pPr>
              <w:widowControl/>
              <w:jc w:val="center"/>
              <w:rPr>
                <w:rFonts w:hint="eastAsia" w:ascii="仿宋_GB2312" w:hAnsi="宋体" w:eastAsia="仿宋_GB2312"/>
                <w:color w:val="000000"/>
                <w:sz w:val="18"/>
                <w:szCs w:val="18"/>
              </w:rPr>
            </w:pPr>
          </w:p>
        </w:tc>
        <w:tc>
          <w:tcPr>
            <w:tcW w:w="1080" w:type="dxa"/>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城市、</w:t>
            </w:r>
            <w:r>
              <w:rPr>
                <w:rFonts w:hint="eastAsia" w:ascii="仿宋_GB2312" w:hAnsi="宋体" w:eastAsia="仿宋_GB2312"/>
                <w:color w:val="000000"/>
                <w:sz w:val="18"/>
                <w:szCs w:val="18"/>
                <w:lang w:val="en-US" w:eastAsia="zh-CN"/>
              </w:rPr>
              <w:t>乡</w:t>
            </w:r>
            <w:r>
              <w:rPr>
                <w:rFonts w:hint="eastAsia" w:ascii="仿宋_GB2312" w:hAnsi="宋体" w:eastAsia="仿宋_GB2312"/>
                <w:color w:val="000000"/>
                <w:sz w:val="18"/>
                <w:szCs w:val="18"/>
              </w:rPr>
              <w:t>详细规划</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脱密后的文本及</w:t>
            </w:r>
            <w:r>
              <w:rPr>
                <w:rFonts w:hint="eastAsia" w:ascii="仿宋_GB2312" w:hAnsi="宋体" w:eastAsia="仿宋_GB2312"/>
                <w:color w:val="000000"/>
                <w:sz w:val="18"/>
                <w:szCs w:val="18"/>
              </w:rPr>
              <w:t>图表</w:t>
            </w:r>
            <w:r>
              <w:rPr>
                <w:rFonts w:ascii="仿宋_GB2312" w:hAnsi="宋体" w:eastAsia="仿宋_GB2312"/>
                <w:color w:val="000000"/>
                <w:sz w:val="18"/>
                <w:szCs w:val="18"/>
              </w:rPr>
              <w:t>等</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w:t>
            </w:r>
          </w:p>
        </w:tc>
        <w:tc>
          <w:tcPr>
            <w:tcW w:w="2756"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■公开查阅点■政府服务中心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规划编制</w:t>
            </w:r>
          </w:p>
        </w:tc>
        <w:tc>
          <w:tcPr>
            <w:tcW w:w="108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部分村庄编制完成的</w:t>
            </w:r>
            <w:r>
              <w:rPr>
                <w:rFonts w:ascii="仿宋_GB2312" w:hAnsi="宋体" w:eastAsia="仿宋_GB2312"/>
                <w:color w:val="000000"/>
                <w:sz w:val="18"/>
                <w:szCs w:val="18"/>
              </w:rPr>
              <w:t>村庄规划</w:t>
            </w:r>
            <w:r>
              <w:rPr>
                <w:rFonts w:hint="eastAsia" w:ascii="仿宋_GB2312" w:hAnsi="宋体" w:eastAsia="仿宋_GB2312"/>
                <w:color w:val="000000"/>
                <w:sz w:val="18"/>
                <w:szCs w:val="18"/>
              </w:rPr>
              <w:t>、村土地利用规划</w:t>
            </w:r>
          </w:p>
        </w:tc>
        <w:tc>
          <w:tcPr>
            <w:tcW w:w="1800" w:type="dxa"/>
            <w:noWrap w:val="0"/>
            <w:vAlign w:val="center"/>
          </w:tcPr>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脱密后的文本及附图等</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《土地管理法》</w:t>
            </w:r>
            <w:r>
              <w:rPr>
                <w:rFonts w:hint="eastAsia" w:ascii="仿宋_GB2312" w:hAnsi="宋体" w:eastAsia="仿宋_GB2312"/>
                <w:color w:val="000000"/>
                <w:sz w:val="18"/>
                <w:szCs w:val="18"/>
              </w:rPr>
              <w:t>、</w:t>
            </w: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r>
              <w:rPr>
                <w:rFonts w:hint="eastAsia" w:ascii="仿宋_GB2312" w:hAnsi="宋体" w:eastAsia="仿宋_GB2312"/>
                <w:color w:val="000000"/>
                <w:sz w:val="18"/>
                <w:szCs w:val="18"/>
              </w:rPr>
              <w:t>、《国土资源部关于有序开展村土地利用规划编制工作的指导意见》</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w:t>
            </w:r>
          </w:p>
        </w:tc>
        <w:tc>
          <w:tcPr>
            <w:tcW w:w="2756"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■公开查阅点■政府服务中心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Merge w:val="restart"/>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规划许可</w:t>
            </w:r>
          </w:p>
        </w:tc>
        <w:tc>
          <w:tcPr>
            <w:tcW w:w="108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建设项目选址意见书</w:t>
            </w:r>
          </w:p>
        </w:tc>
        <w:tc>
          <w:tcPr>
            <w:tcW w:w="1800" w:type="dxa"/>
            <w:noWrap w:val="0"/>
            <w:vAlign w:val="center"/>
          </w:tcPr>
          <w:p>
            <w:pPr>
              <w:widowControl/>
              <w:rPr>
                <w:rFonts w:hint="eastAsia"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r>
              <w:rPr>
                <w:rFonts w:hint="eastAsia" w:ascii="仿宋_GB2312" w:hAnsi="宋体" w:eastAsia="仿宋_GB2312"/>
                <w:color w:val="000000"/>
                <w:sz w:val="18"/>
                <w:szCs w:val="18"/>
              </w:rPr>
              <w:t>（涉密项目除外）</w:t>
            </w:r>
          </w:p>
        </w:tc>
        <w:tc>
          <w:tcPr>
            <w:tcW w:w="2160" w:type="dxa"/>
            <w:noWrap w:val="0"/>
            <w:vAlign w:val="center"/>
          </w:tcPr>
          <w:p>
            <w:pPr>
              <w:widowControl/>
              <w:spacing w:line="260" w:lineRule="exact"/>
              <w:jc w:val="left"/>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w:t>
            </w:r>
          </w:p>
        </w:tc>
        <w:tc>
          <w:tcPr>
            <w:tcW w:w="2756" w:type="dxa"/>
            <w:noWrap w:val="0"/>
            <w:vAlign w:val="center"/>
          </w:tcPr>
          <w:p>
            <w:pPr>
              <w:widowControl/>
              <w:rPr>
                <w:rFonts w:hint="eastAsia"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■政府服务中心</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vMerge w:val="continue"/>
            <w:noWrap w:val="0"/>
            <w:vAlign w:val="center"/>
          </w:tcPr>
          <w:p>
            <w:pPr>
              <w:widowControl/>
              <w:jc w:val="center"/>
              <w:rPr>
                <w:rFonts w:ascii="仿宋_GB2312" w:hAnsi="宋体" w:eastAsia="仿宋_GB2312"/>
                <w:color w:val="000000"/>
                <w:sz w:val="18"/>
                <w:szCs w:val="18"/>
              </w:rPr>
            </w:pPr>
          </w:p>
        </w:tc>
        <w:tc>
          <w:tcPr>
            <w:tcW w:w="108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建设用地规划许可证</w:t>
            </w:r>
          </w:p>
        </w:tc>
        <w:tc>
          <w:tcPr>
            <w:tcW w:w="1800" w:type="dxa"/>
            <w:noWrap w:val="0"/>
            <w:vAlign w:val="center"/>
          </w:tcPr>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r>
              <w:rPr>
                <w:rFonts w:hint="eastAsia" w:ascii="仿宋_GB2312" w:hAnsi="宋体" w:eastAsia="仿宋_GB2312"/>
                <w:color w:val="000000"/>
                <w:sz w:val="18"/>
                <w:szCs w:val="18"/>
              </w:rPr>
              <w:t>（涉密项目除外）</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w:t>
            </w:r>
          </w:p>
        </w:tc>
        <w:tc>
          <w:tcPr>
            <w:tcW w:w="2756" w:type="dxa"/>
            <w:noWrap w:val="0"/>
            <w:vAlign w:val="center"/>
          </w:tcPr>
          <w:p>
            <w:pPr>
              <w:widowControl/>
              <w:spacing w:line="260" w:lineRule="exact"/>
              <w:rPr>
                <w:rFonts w:hint="eastAsia"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r>
              <w:rPr>
                <w:rFonts w:hint="eastAsia" w:ascii="仿宋_GB2312" w:hAnsi="宋体" w:eastAsia="仿宋_GB2312"/>
                <w:color w:val="000000"/>
                <w:sz w:val="18"/>
                <w:szCs w:val="18"/>
              </w:rPr>
              <w:t xml:space="preserve">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■政府服务中心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continue"/>
            <w:noWrap w:val="0"/>
            <w:vAlign w:val="center"/>
          </w:tcPr>
          <w:p>
            <w:pPr>
              <w:widowControl/>
              <w:jc w:val="center"/>
              <w:rPr>
                <w:rFonts w:ascii="仿宋_GB2312" w:hAnsi="宋体" w:eastAsia="仿宋_GB2312"/>
                <w:color w:val="000000"/>
                <w:sz w:val="18"/>
                <w:szCs w:val="18"/>
              </w:rPr>
            </w:pPr>
          </w:p>
        </w:tc>
        <w:tc>
          <w:tcPr>
            <w:tcW w:w="108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建设工程规划许可证</w:t>
            </w:r>
          </w:p>
        </w:tc>
        <w:tc>
          <w:tcPr>
            <w:tcW w:w="1800" w:type="dxa"/>
            <w:noWrap w:val="0"/>
            <w:vAlign w:val="center"/>
          </w:tcPr>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r>
              <w:rPr>
                <w:rFonts w:hint="eastAsia" w:ascii="仿宋_GB2312" w:hAnsi="宋体" w:eastAsia="仿宋_GB2312"/>
                <w:color w:val="000000"/>
                <w:sz w:val="18"/>
                <w:szCs w:val="18"/>
              </w:rPr>
              <w:t>（涉密项目除外）</w:t>
            </w:r>
          </w:p>
        </w:tc>
        <w:tc>
          <w:tcPr>
            <w:tcW w:w="2160" w:type="dxa"/>
            <w:noWrap w:val="0"/>
            <w:vAlign w:val="center"/>
          </w:tcPr>
          <w:p>
            <w:pPr>
              <w:widowControl/>
              <w:spacing w:line="240" w:lineRule="exact"/>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w:t>
            </w:r>
          </w:p>
        </w:tc>
        <w:tc>
          <w:tcPr>
            <w:tcW w:w="2756" w:type="dxa"/>
            <w:noWrap w:val="0"/>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■政府服务中心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规划许可</w:t>
            </w:r>
          </w:p>
        </w:tc>
        <w:tc>
          <w:tcPr>
            <w:tcW w:w="108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乡村建设规划许可证</w:t>
            </w:r>
          </w:p>
        </w:tc>
        <w:tc>
          <w:tcPr>
            <w:tcW w:w="1800" w:type="dxa"/>
            <w:noWrap w:val="0"/>
            <w:vAlign w:val="center"/>
          </w:tcPr>
          <w:p>
            <w:pPr>
              <w:widowControl/>
              <w:spacing w:line="260" w:lineRule="exact"/>
              <w:jc w:val="left"/>
              <w:rPr>
                <w:rFonts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p>
        </w:tc>
        <w:tc>
          <w:tcPr>
            <w:tcW w:w="2160" w:type="dxa"/>
            <w:noWrap w:val="0"/>
            <w:vAlign w:val="center"/>
          </w:tcPr>
          <w:p>
            <w:pPr>
              <w:widowControl/>
              <w:spacing w:line="260" w:lineRule="exact"/>
              <w:jc w:val="left"/>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w:t>
            </w:r>
          </w:p>
        </w:tc>
        <w:tc>
          <w:tcPr>
            <w:tcW w:w="2756" w:type="dxa"/>
            <w:noWrap w:val="0"/>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12</w:t>
            </w:r>
          </w:p>
        </w:tc>
        <w:tc>
          <w:tcPr>
            <w:tcW w:w="72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行政处罚</w:t>
            </w: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行政处罚基本信息</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执法主体、执法人员姓名及证件编号、职责、权限、查处依据、工作程序、救济渠道和随机抽查事项清单等信息</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r>
              <w:rPr>
                <w:rFonts w:hint="eastAsia" w:ascii="仿宋_GB2312" w:hAnsi="宋体" w:eastAsia="仿宋_GB2312"/>
                <w:color w:val="000000"/>
                <w:sz w:val="18"/>
                <w:szCs w:val="18"/>
              </w:rPr>
              <w:t>、</w:t>
            </w:r>
            <w:r>
              <w:rPr>
                <w:rFonts w:ascii="仿宋_GB2312" w:hAnsi="宋体" w:eastAsia="仿宋_GB2312"/>
                <w:color w:val="000000"/>
                <w:sz w:val="18"/>
                <w:szCs w:val="18"/>
              </w:rPr>
              <w:t>《关于全面推行行政执法公示制度执法全过程记录制度重大执法决定法制审核制度的指导意见》</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w:t>
            </w:r>
          </w:p>
        </w:tc>
        <w:tc>
          <w:tcPr>
            <w:tcW w:w="2756" w:type="dxa"/>
            <w:noWrap w:val="0"/>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13</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行政处罚</w:t>
            </w: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事后公开</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作出的行政处罚决定信息（法律、行政法规另有规定的除外）</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r>
              <w:rPr>
                <w:rFonts w:hint="eastAsia" w:ascii="仿宋_GB2312" w:hAnsi="宋体" w:eastAsia="仿宋_GB2312"/>
                <w:color w:val="000000"/>
                <w:sz w:val="18"/>
                <w:szCs w:val="18"/>
              </w:rPr>
              <w:t>、</w:t>
            </w:r>
            <w:r>
              <w:rPr>
                <w:rFonts w:ascii="仿宋_GB2312" w:hAnsi="宋体" w:eastAsia="仿宋_GB2312"/>
                <w:color w:val="000000"/>
                <w:sz w:val="18"/>
                <w:szCs w:val="18"/>
              </w:rPr>
              <w:t>《关于全面推行行政执法公示制度执法全过程记录制度重大执法决定法制审核制度的指导意见》</w:t>
            </w: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7个工作日</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w:t>
            </w:r>
          </w:p>
        </w:tc>
        <w:tc>
          <w:tcPr>
            <w:tcW w:w="2756" w:type="dxa"/>
            <w:noWrap w:val="0"/>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r>
    </w:tbl>
    <w:p>
      <w:pPr>
        <w:jc w:val="center"/>
        <w:rPr>
          <w:rFonts w:hint="eastAsia" w:ascii="方正小标宋_GBK" w:hAnsi="方正小标宋_GBK" w:eastAsia="方正小标宋_GBK"/>
          <w:kern w:val="44"/>
          <w:sz w:val="30"/>
          <w:szCs w:val="44"/>
        </w:rPr>
      </w:pPr>
    </w:p>
    <w:p/>
    <w:sectPr>
      <w:pgSz w:w="16838" w:h="11906" w:orient="landscape"/>
      <w:pgMar w:top="1440" w:right="1259" w:bottom="1440" w:left="18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F906E3"/>
    <w:rsid w:val="03EF3AB9"/>
    <w:rsid w:val="12A60E07"/>
    <w:rsid w:val="23F906E3"/>
    <w:rsid w:val="3C0412B8"/>
    <w:rsid w:val="5B456072"/>
    <w:rsid w:val="6E0E17E5"/>
    <w:rsid w:val="70FC63CB"/>
    <w:rsid w:val="763331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2020-08-06T01:21:00Z</dcterms:created>
  <dc:creator>兲丄丅魚</dc:creator>
  <cp:lastModifiedBy>甲虫fighting</cp:lastModifiedBy>
  <cp:lastPrinted>2020-08-06T01:22:00Z</cp:lastPrinted>
  <dcterms:modified xsi:type="dcterms:W3CDTF">2021-01-14T07:44:14Z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