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300"/>
        <w:jc w:val="center"/>
        <w:textAlignment w:val="auto"/>
        <w:rPr>
          <w:rFonts w:hint="eastAsia" w:ascii="黑体" w:hAnsi="黑体" w:eastAsia="黑体" w:cs="黑体"/>
          <w:b w:val="0"/>
          <w:color w:val="4F4F4F"/>
          <w:sz w:val="44"/>
          <w:szCs w:val="44"/>
          <w:bdr w:val="none" w:color="auto" w:sz="0" w:space="0"/>
          <w:shd w:val="clear" w:fill="FFFFFF"/>
        </w:rPr>
      </w:pPr>
      <w:r>
        <w:rPr>
          <w:rFonts w:hint="eastAsia" w:ascii="黑体" w:hAnsi="黑体" w:eastAsia="黑体" w:cs="黑体"/>
          <w:b w:val="0"/>
          <w:color w:val="4F4F4F"/>
          <w:sz w:val="44"/>
          <w:szCs w:val="44"/>
          <w:bdr w:val="none" w:color="auto" w:sz="0" w:space="0"/>
          <w:shd w:val="clear" w:fill="FFFFFF"/>
          <w:lang w:val="en-US" w:eastAsia="zh-CN"/>
        </w:rPr>
        <w:t>永和县</w:t>
      </w:r>
      <w:r>
        <w:rPr>
          <w:rFonts w:hint="eastAsia" w:ascii="黑体" w:hAnsi="黑体" w:eastAsia="黑体" w:cs="黑体"/>
          <w:b w:val="0"/>
          <w:color w:val="4F4F4F"/>
          <w:sz w:val="44"/>
          <w:szCs w:val="44"/>
          <w:bdr w:val="none" w:color="auto" w:sz="0" w:space="0"/>
          <w:shd w:val="clear" w:fill="FFFFFF"/>
        </w:rPr>
        <w:t>行政审批</w:t>
      </w:r>
      <w:r>
        <w:rPr>
          <w:rFonts w:hint="eastAsia" w:ascii="黑体" w:hAnsi="黑体" w:eastAsia="黑体" w:cs="黑体"/>
          <w:b w:val="0"/>
          <w:color w:val="4F4F4F"/>
          <w:sz w:val="44"/>
          <w:szCs w:val="44"/>
          <w:bdr w:val="none" w:color="auto" w:sz="0" w:space="0"/>
          <w:shd w:val="clear" w:fill="FFFFFF"/>
          <w:lang w:val="en-US" w:eastAsia="zh-CN"/>
        </w:rPr>
        <w:t>服务管理</w:t>
      </w:r>
      <w:r>
        <w:rPr>
          <w:rFonts w:hint="eastAsia" w:ascii="黑体" w:hAnsi="黑体" w:eastAsia="黑体" w:cs="黑体"/>
          <w:b w:val="0"/>
          <w:color w:val="4F4F4F"/>
          <w:sz w:val="44"/>
          <w:szCs w:val="44"/>
          <w:bdr w:val="none" w:color="auto" w:sz="0" w:space="0"/>
          <w:shd w:val="clear" w:fill="FFFFFF"/>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right="300"/>
        <w:jc w:val="center"/>
        <w:textAlignment w:val="auto"/>
        <w:rPr>
          <w:rFonts w:hint="eastAsia" w:ascii="黑体" w:hAnsi="黑体" w:eastAsia="黑体" w:cs="黑体"/>
          <w:b w:val="0"/>
          <w:color w:val="4F4F4F"/>
          <w:sz w:val="44"/>
          <w:szCs w:val="44"/>
          <w:bdr w:val="none" w:color="auto" w:sz="0" w:space="0"/>
          <w:shd w:val="clear" w:fill="FFFFFF"/>
          <w:lang w:val="en-US" w:eastAsia="zh-CN"/>
        </w:rPr>
      </w:pPr>
      <w:r>
        <w:rPr>
          <w:rFonts w:hint="eastAsia" w:ascii="黑体" w:hAnsi="黑体" w:eastAsia="黑体" w:cs="黑体"/>
          <w:b w:val="0"/>
          <w:color w:val="4F4F4F"/>
          <w:sz w:val="44"/>
          <w:szCs w:val="44"/>
          <w:bdr w:val="none" w:color="auto" w:sz="0" w:space="0"/>
          <w:shd w:val="clear" w:fill="FFFFFF"/>
        </w:rPr>
        <w:t>2019年政府信息公开工作年度报告</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rPr>
          <w:rFonts w:hint="eastAsia" w:ascii="仿宋" w:hAnsi="仿宋" w:eastAsia="仿宋" w:cs="仿宋"/>
          <w:color w:val="4F4F4F"/>
          <w:kern w:val="2"/>
          <w:sz w:val="32"/>
          <w:szCs w:val="32"/>
          <w:shd w:val="clear" w:fill="FFFFFF"/>
          <w:lang w:val="en-US" w:eastAsia="zh-CN" w:bidi="ar-SA"/>
        </w:rPr>
      </w:pP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本年报根据《中华人民共和国政府信息公开条例》和《国务院办公厅政府信息与政务公开办公室关于政府信息公开工作年度报告有关事项的通知》的要求编制。本年报由总体情况、主动公开政府信息情况、收到和处理政府信息公开申请情况、政府信息公开行政复议、行政诉讼情况、存在的主要问题及改进情况、其他需要报告的事项六部分组成，并附相关情况统计表。如对本年报有任何疑问，请联系：永和县行政审批服务管理局办公室，电话：7523168。本年报中所列数据的统计期限截至2019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default" w:ascii="黑体" w:hAnsi="黑体" w:eastAsia="黑体" w:cs="黑体"/>
          <w:b w:val="0"/>
          <w:color w:val="4F4F4F"/>
          <w:kern w:val="44"/>
          <w:sz w:val="32"/>
          <w:szCs w:val="32"/>
          <w:shd w:val="clear" w:fill="FFFFFF"/>
          <w:lang w:val="en-US" w:eastAsia="zh-CN" w:bidi="ar"/>
        </w:rPr>
      </w:pPr>
      <w:r>
        <w:rPr>
          <w:rFonts w:hint="eastAsia" w:ascii="黑体" w:hAnsi="黑体" w:eastAsia="黑体" w:cs="黑体"/>
          <w:b w:val="0"/>
          <w:color w:val="4F4F4F"/>
          <w:sz w:val="32"/>
          <w:szCs w:val="32"/>
          <w:shd w:val="clear" w:fill="FFFFFF"/>
          <w:lang w:val="en-US" w:eastAsia="zh-CN"/>
        </w:rPr>
        <w:t>一、</w:t>
      </w:r>
      <w:r>
        <w:rPr>
          <w:rFonts w:hint="eastAsia" w:ascii="黑体" w:hAnsi="黑体" w:eastAsia="黑体" w:cs="黑体"/>
          <w:b w:val="0"/>
          <w:color w:val="4F4F4F"/>
          <w:kern w:val="44"/>
          <w:sz w:val="32"/>
          <w:szCs w:val="32"/>
          <w:shd w:val="clear" w:fill="FFFFFF"/>
          <w:lang w:val="en-US" w:eastAsia="zh-CN" w:bidi="ar"/>
        </w:rPr>
        <w:t>总体情况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为深入推进我局政务信息公开工作，根据《中华人民共和国政府信息公开条例》等文件要求，我局着眼巩固基础，探索工作创新，努力实现稳步提高的同时，建立机构，加强组织领导，健全规章制度，认真抓好落实，推进指南和目录编制工作，取得了一定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（一）建立机构，加强组织领导。</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default"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我</w:t>
      </w:r>
      <w:r>
        <w:rPr>
          <w:rFonts w:hint="default" w:ascii="仿宋" w:hAnsi="仿宋" w:eastAsia="仿宋" w:cs="仿宋"/>
          <w:color w:val="4F4F4F"/>
          <w:kern w:val="2"/>
          <w:sz w:val="32"/>
          <w:szCs w:val="32"/>
          <w:shd w:val="clear" w:fill="FFFFFF"/>
          <w:lang w:val="en-US" w:eastAsia="zh-CN" w:bidi="ar-SA"/>
        </w:rPr>
        <w:t>局高度重视政府信息公开工作，将其列入重要工作日程</w:t>
      </w:r>
      <w:r>
        <w:rPr>
          <w:rFonts w:hint="eastAsia" w:ascii="仿宋" w:hAnsi="仿宋" w:eastAsia="仿宋" w:cs="仿宋"/>
          <w:color w:val="4F4F4F"/>
          <w:kern w:val="2"/>
          <w:sz w:val="32"/>
          <w:szCs w:val="32"/>
          <w:shd w:val="clear" w:fill="FFFFFF"/>
          <w:lang w:val="en-US" w:eastAsia="zh-CN" w:bidi="ar-SA"/>
        </w:rPr>
        <w:t>。配备专职工作人员，负责推进、指导、协调本单位政府信息的发布和管理工作。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（二）健全规章制度,认真抓好落实。</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一是建立完善局政府信息公开的各项制度，并认真抓好落实。二是对全年政府信息公开工作有部署、有检查，通过健全和完善各项制度后，促进了局政府信息公开工作的有序进行。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（三）严格履行政府信息公开义务。</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color w:val="4F4F4F"/>
          <w:kern w:val="2"/>
          <w:sz w:val="32"/>
          <w:szCs w:val="32"/>
          <w:shd w:val="clear" w:fill="FFFFFF"/>
          <w:lang w:val="en-US" w:eastAsia="zh-CN" w:bidi="ar-SA"/>
        </w:rPr>
      </w:pPr>
      <w:r>
        <w:rPr>
          <w:rFonts w:hint="default" w:ascii="仿宋" w:hAnsi="仿宋" w:eastAsia="仿宋" w:cs="仿宋"/>
          <w:color w:val="4F4F4F"/>
          <w:kern w:val="2"/>
          <w:sz w:val="32"/>
          <w:szCs w:val="32"/>
          <w:shd w:val="clear" w:fill="FFFFFF"/>
          <w:lang w:val="en-US" w:eastAsia="zh-CN" w:bidi="ar-SA"/>
        </w:rPr>
        <w:t>按照《条例》和省、市、县的有关文件要求，在办事大厅内设立专门场所，同时购置电子触摸屏、复印机等设备。同时，对政务公开的范围、内容、形式、制度做进一步明确。坚持把群众最关心的、最需要了解的事项作为政务公开的重点，加大推行政府信息公开的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default"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（四）</w:t>
      </w:r>
      <w:r>
        <w:rPr>
          <w:rFonts w:hint="default" w:ascii="黑体" w:hAnsi="黑体" w:eastAsia="黑体" w:cs="黑体"/>
          <w:b w:val="0"/>
          <w:color w:val="4F4F4F"/>
          <w:sz w:val="32"/>
          <w:szCs w:val="32"/>
          <w:shd w:val="clear" w:fill="FFFFFF"/>
          <w:lang w:val="en-US" w:eastAsia="zh-CN"/>
        </w:rPr>
        <w:t>学习、宣传情况。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default"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我</w:t>
      </w:r>
      <w:r>
        <w:rPr>
          <w:rFonts w:hint="default" w:ascii="仿宋" w:hAnsi="仿宋" w:eastAsia="仿宋" w:cs="仿宋"/>
          <w:color w:val="4F4F4F"/>
          <w:kern w:val="2"/>
          <w:sz w:val="32"/>
          <w:szCs w:val="32"/>
          <w:shd w:val="clear" w:fill="FFFFFF"/>
          <w:lang w:val="en-US" w:eastAsia="zh-CN" w:bidi="ar-SA"/>
        </w:rPr>
        <w:t>局认真组织全</w:t>
      </w:r>
      <w:r>
        <w:rPr>
          <w:rFonts w:hint="eastAsia" w:ascii="仿宋" w:hAnsi="仿宋" w:eastAsia="仿宋" w:cs="仿宋"/>
          <w:color w:val="4F4F4F"/>
          <w:kern w:val="2"/>
          <w:sz w:val="32"/>
          <w:szCs w:val="32"/>
          <w:shd w:val="clear" w:fill="FFFFFF"/>
          <w:lang w:val="en-US" w:eastAsia="zh-CN" w:bidi="ar-SA"/>
        </w:rPr>
        <w:t>局</w:t>
      </w:r>
      <w:r>
        <w:rPr>
          <w:rFonts w:hint="default" w:ascii="仿宋" w:hAnsi="仿宋" w:eastAsia="仿宋" w:cs="仿宋"/>
          <w:color w:val="4F4F4F"/>
          <w:kern w:val="2"/>
          <w:sz w:val="32"/>
          <w:szCs w:val="32"/>
          <w:shd w:val="clear" w:fill="FFFFFF"/>
          <w:lang w:val="en-US" w:eastAsia="zh-CN" w:bidi="ar-SA"/>
        </w:rPr>
        <w:t>干部职工特别是领导干部认真学习《条例》，全面领会《条例》的基本精神和主要内容，充分认识《条例》的重大意义，把思想和行动统一到县委、县政府的安排部署上来，不断提高中心工作人员对政务公开工作重要性的认识，进一步增强贯彻执行《条例》的责任感和自觉性，为《条例》实施奠定坚实的思想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300" w:firstLine="640" w:firstLineChars="200"/>
        <w:jc w:val="both"/>
        <w:textAlignment w:val="auto"/>
        <w:rPr>
          <w:rFonts w:hint="default"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二、</w:t>
      </w:r>
      <w:r>
        <w:rPr>
          <w:rFonts w:hint="default" w:ascii="黑体" w:hAnsi="黑体" w:eastAsia="黑体" w:cs="黑体"/>
          <w:b w:val="0"/>
          <w:color w:val="4F4F4F"/>
          <w:sz w:val="32"/>
          <w:szCs w:val="32"/>
          <w:shd w:val="clear" w:fill="FFFFFF"/>
          <w:lang w:val="en-US" w:eastAsia="zh-CN"/>
        </w:rPr>
        <w:t>主动公开政府信息情况</w:t>
      </w:r>
    </w:p>
    <w:tbl>
      <w:tblPr>
        <w:tblStyle w:val="4"/>
        <w:tblW w:w="8172" w:type="dxa"/>
        <w:jc w:val="center"/>
        <w:shd w:val="clear" w:color="auto" w:fill="auto"/>
        <w:tblLayout w:type="autofit"/>
        <w:tblCellMar>
          <w:top w:w="0" w:type="dxa"/>
          <w:left w:w="0" w:type="dxa"/>
          <w:bottom w:w="0" w:type="dxa"/>
          <w:right w:w="0" w:type="dxa"/>
        </w:tblCellMar>
      </w:tblPr>
      <w:tblGrid>
        <w:gridCol w:w="3145"/>
        <w:gridCol w:w="1875"/>
        <w:gridCol w:w="6"/>
        <w:gridCol w:w="1265"/>
        <w:gridCol w:w="1881"/>
      </w:tblGrid>
      <w:tr>
        <w:tblPrEx>
          <w:tblCellMar>
            <w:top w:w="0" w:type="dxa"/>
            <w:left w:w="0" w:type="dxa"/>
            <w:bottom w:w="0" w:type="dxa"/>
            <w:right w:w="0" w:type="dxa"/>
          </w:tblCellMar>
        </w:tblPrEx>
        <w:trPr>
          <w:trHeight w:val="495" w:hRule="atLeast"/>
          <w:jc w:val="center"/>
        </w:trPr>
        <w:tc>
          <w:tcPr>
            <w:tcW w:w="8172"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523"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1"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80" w:hRule="atLeast"/>
          <w:jc w:val="center"/>
        </w:trPr>
        <w:tc>
          <w:tcPr>
            <w:tcW w:w="8172"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550"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06" w:hRule="atLeast"/>
          <w:jc w:val="center"/>
        </w:trPr>
        <w:tc>
          <w:tcPr>
            <w:tcW w:w="8172"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09"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4" w:hRule="atLeast"/>
          <w:jc w:val="center"/>
        </w:trPr>
        <w:tc>
          <w:tcPr>
            <w:tcW w:w="8172"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shd w:val="clear" w:color="auto" w:fill="auto"/>
          <w:tblCellMar>
            <w:top w:w="0" w:type="dxa"/>
            <w:left w:w="0" w:type="dxa"/>
            <w:bottom w:w="0" w:type="dxa"/>
            <w:right w:w="0" w:type="dxa"/>
          </w:tblCellMar>
        </w:tblPrEx>
        <w:trPr>
          <w:trHeight w:val="551"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6" w:hRule="atLeast"/>
          <w:jc w:val="center"/>
        </w:trPr>
        <w:tc>
          <w:tcPr>
            <w:tcW w:w="8172"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4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54</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default" w:ascii="宋体" w:eastAsia="宋体"/>
                <w:sz w:val="24"/>
                <w:szCs w:val="24"/>
                <w:lang w:val="en-US" w:eastAsia="zh-CN"/>
              </w:rPr>
            </w:pPr>
            <w:r>
              <w:rPr>
                <w:rFonts w:hint="eastAsia" w:ascii="宋体"/>
                <w:sz w:val="24"/>
                <w:szCs w:val="24"/>
                <w:lang w:val="en-US" w:eastAsia="zh-CN"/>
              </w:rPr>
              <w:t>2540.9192万元</w:t>
            </w:r>
          </w:p>
        </w:tc>
      </w:tr>
    </w:tbl>
    <w:p>
      <w:pPr>
        <w:numPr>
          <w:numId w:val="0"/>
        </w:num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三、收到和处理政府信息公开申请情况</w:t>
      </w:r>
    </w:p>
    <w:tbl>
      <w:tblPr>
        <w:tblStyle w:val="4"/>
        <w:tblW w:w="81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44"/>
        <w:gridCol w:w="1776"/>
        <w:gridCol w:w="731"/>
        <w:gridCol w:w="685"/>
        <w:gridCol w:w="684"/>
        <w:gridCol w:w="728"/>
        <w:gridCol w:w="859"/>
        <w:gridCol w:w="649"/>
        <w:gridCol w:w="6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323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323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3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360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2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323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3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7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85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6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2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wAfter w:w="0" w:type="auto"/>
          <w:jc w:val="center"/>
        </w:trPr>
        <w:tc>
          <w:tcPr>
            <w:tcW w:w="323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323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4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7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2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323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73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5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300"/>
        <w:jc w:val="both"/>
        <w:textAlignment w:val="auto"/>
        <w:rPr>
          <w:rFonts w:hint="eastAsia" w:ascii="黑体" w:hAnsi="黑体" w:eastAsia="黑体" w:cs="黑体"/>
          <w:b w:val="0"/>
          <w:color w:val="4F4F4F"/>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四、政府信息公开行政复议、行政诉讼情况</w:t>
      </w:r>
    </w:p>
    <w:tbl>
      <w:tblPr>
        <w:tblStyle w:val="4"/>
        <w:tblW w:w="825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6"/>
        <w:gridCol w:w="535"/>
        <w:gridCol w:w="535"/>
        <w:gridCol w:w="535"/>
        <w:gridCol w:w="570"/>
        <w:gridCol w:w="538"/>
        <w:gridCol w:w="573"/>
        <w:gridCol w:w="573"/>
        <w:gridCol w:w="573"/>
        <w:gridCol w:w="573"/>
        <w:gridCol w:w="573"/>
        <w:gridCol w:w="573"/>
        <w:gridCol w:w="573"/>
        <w:gridCol w:w="575"/>
        <w:gridCol w:w="54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wAfter w:w="0" w:type="auto"/>
          <w:jc w:val="center"/>
        </w:trPr>
        <w:tc>
          <w:tcPr>
            <w:tcW w:w="259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665"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3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5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57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83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5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5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c>
          <w:tcPr>
            <w:tcW w:w="5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54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五、存在的主要问题及改进情况</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0" w:firstLineChars="200"/>
        <w:jc w:val="both"/>
        <w:textAlignment w:val="auto"/>
        <w:rPr>
          <w:rFonts w:hint="eastAsia" w:ascii="仿宋" w:hAnsi="仿宋" w:eastAsia="仿宋" w:cs="仿宋"/>
          <w:color w:val="4F4F4F"/>
          <w:kern w:val="2"/>
          <w:sz w:val="32"/>
          <w:szCs w:val="32"/>
          <w:shd w:val="clear" w:fill="FFFFFF"/>
          <w:lang w:val="en-US" w:eastAsia="zh-CN" w:bidi="ar-SA"/>
        </w:rPr>
      </w:pPr>
      <w:r>
        <w:rPr>
          <w:rFonts w:hint="eastAsia" w:ascii="仿宋" w:hAnsi="仿宋" w:eastAsia="仿宋" w:cs="仿宋"/>
          <w:color w:val="4F4F4F"/>
          <w:kern w:val="2"/>
          <w:sz w:val="32"/>
          <w:szCs w:val="32"/>
          <w:shd w:val="clear" w:fill="FFFFFF"/>
          <w:lang w:val="en-US" w:eastAsia="zh-CN" w:bidi="ar-SA"/>
        </w:rPr>
        <w:t>今年，我局政务公开工作虽然取得了一定进展，但总体上看，还是存在一些问题和不足，主要体现在：一是认识还有不足，少数人员对于政务公开的重要意义认识不足，认为工作就是负责人员的，与己无关；二是新媒体运用有待创新，线上公开宣传力度不够，深度不够；三是有的公开内容还不够规范、不</w:t>
      </w:r>
      <w:bookmarkStart w:id="0" w:name="_GoBack"/>
      <w:bookmarkEnd w:id="0"/>
      <w:r>
        <w:rPr>
          <w:rFonts w:hint="eastAsia" w:ascii="仿宋" w:hAnsi="仿宋" w:eastAsia="仿宋" w:cs="仿宋"/>
          <w:color w:val="4F4F4F"/>
          <w:kern w:val="2"/>
          <w:sz w:val="32"/>
          <w:szCs w:val="32"/>
          <w:shd w:val="clear" w:fill="FFFFFF"/>
          <w:lang w:val="en-US" w:eastAsia="zh-CN" w:bidi="ar-SA"/>
        </w:rPr>
        <w:t>够具体，重点不够突出。下一步，我局将严格按照县委县政府对政务信息公开工作的要求落实，一是进一步统一对政务工作的认识，积极主动开展相关业务培训，努力提高全局人员思想认识；二是进一步完善工作机制，将政务公开与业务工作紧密结合，深化政务公开内容，提高工作透明度；三是进一步加强政务信息公开队伍建设，主动学习其他单位的先进经验做法，不断提高政务信息公开工作人员的业务水平和综合素质。四是进一步加强常态化督导，把政务公开作为一项重要内容，定期开展督查指导，发现问题及时整改，确保全局政务公开工作的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300" w:firstLine="640" w:firstLineChars="200"/>
        <w:jc w:val="both"/>
        <w:textAlignment w:val="auto"/>
        <w:rPr>
          <w:rFonts w:hint="eastAsia" w:ascii="黑体" w:hAnsi="黑体" w:eastAsia="黑体" w:cs="黑体"/>
          <w:b w:val="0"/>
          <w:color w:val="4F4F4F"/>
          <w:sz w:val="32"/>
          <w:szCs w:val="32"/>
          <w:shd w:val="clear" w:fill="FFFFFF"/>
          <w:lang w:val="en-US" w:eastAsia="zh-CN"/>
        </w:rPr>
      </w:pPr>
      <w:r>
        <w:rPr>
          <w:rFonts w:hint="eastAsia" w:ascii="黑体" w:hAnsi="黑体" w:eastAsia="黑体" w:cs="黑体"/>
          <w:b w:val="0"/>
          <w:color w:val="4F4F4F"/>
          <w:sz w:val="32"/>
          <w:szCs w:val="32"/>
          <w:shd w:val="clear" w:fill="FFFFFF"/>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4F4F4F"/>
          <w:sz w:val="32"/>
          <w:szCs w:val="32"/>
          <w:shd w:val="clear" w:fill="FFFFFF"/>
          <w:lang w:val="en-US" w:eastAsia="zh-CN"/>
        </w:rPr>
      </w:pPr>
      <w:r>
        <w:rPr>
          <w:rFonts w:hint="eastAsia" w:ascii="仿宋" w:hAnsi="仿宋" w:eastAsia="仿宋" w:cs="仿宋"/>
          <w:color w:val="4F4F4F"/>
          <w:sz w:val="32"/>
          <w:szCs w:val="32"/>
          <w:shd w:val="clear" w:fill="FFFFFF"/>
          <w:lang w:val="en-US" w:eastAsia="zh-CN"/>
        </w:rPr>
        <w:t>我局暂无其他需要报告的事项。</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3923" w:firstLineChars="1226"/>
        <w:textAlignment w:val="auto"/>
        <w:rPr>
          <w:rFonts w:hint="eastAsia" w:ascii="华文仿宋" w:hAnsi="华文仿宋" w:eastAsia="华文仿宋" w:cs="华文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textAlignment w:val="auto"/>
        <w:rPr>
          <w:rFonts w:hint="eastAsia" w:ascii="仿宋" w:hAnsi="仿宋" w:eastAsia="仿宋" w:cs="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textAlignment w:val="auto"/>
        <w:rPr>
          <w:rFonts w:hint="eastAsia" w:ascii="仿宋" w:hAnsi="仿宋" w:eastAsia="仿宋" w:cs="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textAlignment w:val="auto"/>
        <w:rPr>
          <w:rFonts w:hint="eastAsia" w:ascii="仿宋" w:hAnsi="仿宋" w:eastAsia="仿宋" w:cs="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textAlignment w:val="auto"/>
        <w:rPr>
          <w:rFonts w:hint="eastAsia" w:ascii="仿宋" w:hAnsi="仿宋" w:eastAsia="仿宋" w:cs="仿宋"/>
          <w:color w:val="4F4F4F"/>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160" w:firstLineChars="1300"/>
        <w:textAlignment w:val="auto"/>
        <w:rPr>
          <w:rFonts w:hint="default" w:ascii="仿宋" w:hAnsi="仿宋" w:eastAsia="仿宋" w:cs="仿宋"/>
          <w:color w:val="4F4F4F"/>
          <w:sz w:val="32"/>
          <w:szCs w:val="32"/>
          <w:shd w:val="clear" w:fill="FFFFFF"/>
        </w:rPr>
      </w:pPr>
      <w:r>
        <w:rPr>
          <w:rFonts w:hint="eastAsia" w:ascii="仿宋" w:hAnsi="仿宋" w:eastAsia="仿宋" w:cs="仿宋"/>
          <w:color w:val="4F4F4F"/>
          <w:sz w:val="32"/>
          <w:szCs w:val="32"/>
          <w:shd w:val="clear" w:fill="FFFFFF"/>
          <w:lang w:val="en-US" w:eastAsia="zh-CN"/>
        </w:rPr>
        <w:t>永和县</w:t>
      </w:r>
      <w:r>
        <w:rPr>
          <w:rFonts w:hint="default" w:ascii="仿宋" w:hAnsi="仿宋" w:eastAsia="仿宋" w:cs="仿宋"/>
          <w:color w:val="4F4F4F"/>
          <w:sz w:val="32"/>
          <w:szCs w:val="32"/>
          <w:shd w:val="clear" w:fill="FFFFFF"/>
        </w:rPr>
        <w:t>行政审批</w:t>
      </w:r>
      <w:r>
        <w:rPr>
          <w:rFonts w:hint="eastAsia" w:ascii="仿宋" w:hAnsi="仿宋" w:eastAsia="仿宋" w:cs="仿宋"/>
          <w:color w:val="4F4F4F"/>
          <w:sz w:val="32"/>
          <w:szCs w:val="32"/>
          <w:shd w:val="clear" w:fill="FFFFFF"/>
          <w:lang w:val="en-US" w:eastAsia="zh-CN"/>
        </w:rPr>
        <w:t>服务管理</w:t>
      </w:r>
      <w:r>
        <w:rPr>
          <w:rFonts w:hint="default" w:ascii="仿宋" w:hAnsi="仿宋" w:eastAsia="仿宋" w:cs="仿宋"/>
          <w:color w:val="4F4F4F"/>
          <w:sz w:val="32"/>
          <w:szCs w:val="32"/>
          <w:shd w:val="clear" w:fill="FFFFFF"/>
        </w:rPr>
        <w:t>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color w:val="4F4F4F"/>
          <w:sz w:val="32"/>
          <w:szCs w:val="32"/>
          <w:shd w:val="clear" w:fill="FFFFFF"/>
          <w:lang w:val="en-US" w:eastAsia="zh-CN"/>
        </w:rPr>
      </w:pPr>
      <w:r>
        <w:rPr>
          <w:rFonts w:hint="eastAsia" w:ascii="仿宋" w:hAnsi="仿宋" w:eastAsia="仿宋" w:cs="仿宋"/>
          <w:color w:val="4F4F4F"/>
          <w:sz w:val="32"/>
          <w:szCs w:val="32"/>
          <w:shd w:val="clear" w:fill="FFFFFF"/>
          <w:lang w:val="en-US" w:eastAsia="zh-CN"/>
        </w:rPr>
        <w:t>2020年2月18日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E7F3B"/>
    <w:rsid w:val="0E6339D2"/>
    <w:rsid w:val="1C8B33CB"/>
    <w:rsid w:val="40A62BD3"/>
    <w:rsid w:val="5256671B"/>
    <w:rsid w:val="762E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21"/>
      <w:szCs w:val="21"/>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F4F4F"/>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4F4F4F"/>
      <w:u w:val="none"/>
    </w:rPr>
  </w:style>
  <w:style w:type="character" w:styleId="12">
    <w:name w:val="HTML Code"/>
    <w:basedOn w:val="5"/>
    <w:uiPriority w:val="0"/>
    <w:rPr>
      <w:rFonts w:hint="default" w:ascii="Courier New" w:hAnsi="Courier New" w:eastAsia="Courier New" w:cs="Courier New"/>
      <w:sz w:val="20"/>
      <w:bdr w:val="none" w:color="auto" w:sz="0" w:space="0"/>
    </w:rPr>
  </w:style>
  <w:style w:type="character" w:styleId="13">
    <w:name w:val="HTML Cite"/>
    <w:basedOn w:val="5"/>
    <w:uiPriority w:val="0"/>
  </w:style>
  <w:style w:type="character" w:styleId="14">
    <w:name w:val="HTML Keyboard"/>
    <w:basedOn w:val="5"/>
    <w:uiPriority w:val="0"/>
    <w:rPr>
      <w:rFonts w:ascii="Courier New" w:hAnsi="Courier New" w:eastAsia="Courier New" w:cs="Courier New"/>
      <w:sz w:val="20"/>
    </w:rPr>
  </w:style>
  <w:style w:type="character" w:styleId="15">
    <w:name w:val="HTML Sample"/>
    <w:basedOn w:val="5"/>
    <w:uiPriority w:val="0"/>
    <w:rPr>
      <w:rFonts w:hint="default" w:ascii="Courier New" w:hAnsi="Courier New" w:eastAsia="Courier New" w:cs="Courier New"/>
    </w:rPr>
  </w:style>
  <w:style w:type="character" w:customStyle="1" w:styleId="16">
    <w:name w:val="m01"/>
    <w:basedOn w:val="5"/>
    <w:uiPriority w:val="0"/>
  </w:style>
  <w:style w:type="character" w:customStyle="1" w:styleId="17">
    <w:name w:val="bds_nopic"/>
    <w:basedOn w:val="5"/>
    <w:uiPriority w:val="0"/>
    <w:rPr>
      <w:bdr w:val="none" w:color="auto" w:sz="0" w:space="0"/>
    </w:rPr>
  </w:style>
  <w:style w:type="character" w:customStyle="1" w:styleId="18">
    <w:name w:val="bds_nopic1"/>
    <w:basedOn w:val="5"/>
    <w:uiPriority w:val="0"/>
    <w:rPr>
      <w:bdr w:val="none" w:color="auto" w:sz="0" w:space="0"/>
    </w:rPr>
  </w:style>
  <w:style w:type="character" w:customStyle="1" w:styleId="19">
    <w:name w:val="bds_nopic2"/>
    <w:basedOn w:val="5"/>
    <w:uiPriority w:val="0"/>
    <w:rPr>
      <w:bdr w:val="none" w:color="auto" w:sz="0" w:space="0"/>
    </w:rPr>
  </w:style>
  <w:style w:type="character" w:customStyle="1" w:styleId="20">
    <w:name w:val="m05"/>
    <w:basedOn w:val="5"/>
    <w:uiPriority w:val="0"/>
  </w:style>
  <w:style w:type="character" w:customStyle="1" w:styleId="21">
    <w:name w:val="m051"/>
    <w:basedOn w:val="5"/>
    <w:uiPriority w:val="0"/>
  </w:style>
  <w:style w:type="character" w:customStyle="1" w:styleId="22">
    <w:name w:val="on"/>
    <w:basedOn w:val="5"/>
    <w:uiPriority w:val="0"/>
  </w:style>
  <w:style w:type="character" w:customStyle="1" w:styleId="23">
    <w:name w:val="bds_more"/>
    <w:basedOn w:val="5"/>
    <w:uiPriority w:val="0"/>
    <w:rPr>
      <w:bdr w:val="none" w:color="auto" w:sz="0" w:space="0"/>
    </w:rPr>
  </w:style>
  <w:style w:type="character" w:customStyle="1" w:styleId="24">
    <w:name w:val="bds_more1"/>
    <w:basedOn w:val="5"/>
    <w:uiPriority w:val="0"/>
    <w:rPr>
      <w:color w:val="454545"/>
      <w:sz w:val="21"/>
      <w:szCs w:val="21"/>
      <w:bdr w:val="none" w:color="auto" w:sz="0" w:space="0"/>
    </w:rPr>
  </w:style>
  <w:style w:type="character" w:customStyle="1" w:styleId="25">
    <w:name w:val="bds_more2"/>
    <w:basedOn w:val="5"/>
    <w:uiPriority w:val="0"/>
    <w:rPr>
      <w:color w:val="454545"/>
      <w:sz w:val="18"/>
      <w:szCs w:val="18"/>
      <w:bdr w:val="none" w:color="auto" w:sz="0" w:space="0"/>
    </w:rPr>
  </w:style>
  <w:style w:type="character" w:customStyle="1" w:styleId="26">
    <w:name w:val="m06"/>
    <w:basedOn w:val="5"/>
    <w:uiPriority w:val="0"/>
  </w:style>
  <w:style w:type="character" w:customStyle="1" w:styleId="27">
    <w:name w:val="m061"/>
    <w:basedOn w:val="5"/>
    <w:uiPriority w:val="0"/>
  </w:style>
  <w:style w:type="character" w:customStyle="1" w:styleId="28">
    <w:name w:val="m04"/>
    <w:basedOn w:val="5"/>
    <w:uiPriority w:val="0"/>
  </w:style>
  <w:style w:type="character" w:customStyle="1" w:styleId="29">
    <w:name w:val="m041"/>
    <w:basedOn w:val="5"/>
    <w:uiPriority w:val="0"/>
  </w:style>
  <w:style w:type="character" w:customStyle="1" w:styleId="30">
    <w:name w:val="m02"/>
    <w:basedOn w:val="5"/>
    <w:uiPriority w:val="0"/>
  </w:style>
  <w:style w:type="character" w:customStyle="1" w:styleId="31">
    <w:name w:val="m021"/>
    <w:basedOn w:val="5"/>
    <w:uiPriority w:val="0"/>
  </w:style>
  <w:style w:type="character" w:customStyle="1" w:styleId="32">
    <w:name w:val="m03"/>
    <w:basedOn w:val="5"/>
    <w:uiPriority w:val="0"/>
  </w:style>
  <w:style w:type="character" w:customStyle="1" w:styleId="33">
    <w:name w:val="m031"/>
    <w:basedOn w:val="5"/>
    <w:uiPriority w:val="0"/>
  </w:style>
  <w:style w:type="character" w:customStyle="1" w:styleId="34">
    <w:name w:val="bds_more3"/>
    <w:basedOn w:val="5"/>
    <w:uiPriority w:val="0"/>
    <w:rPr>
      <w:bdr w:val="none" w:color="auto" w:sz="0" w:space="0"/>
    </w:rPr>
  </w:style>
  <w:style w:type="character" w:customStyle="1" w:styleId="35">
    <w:name w:val="bds_more4"/>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2020-02-18T02:46:00Z</dcterms:created>
  <dc:creator>Administrator</dc:creator>
  <cp:lastModifiedBy>Administrator</cp:lastModifiedBy>
  <cp:lastPrinted>2020-02-19T03:09:00Z</cp:lastPrinted>
  <dcterms:modified xsi:type="dcterms:W3CDTF">2020-02-19T03:11:07Z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