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永和县市场监督管理局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201</w:t>
      </w:r>
      <w:r>
        <w:rPr>
          <w:rFonts w:hint="eastAsia" w:ascii="宋体" w:hAnsi="宋体" w:eastAsia="宋体" w:cs="宋体"/>
          <w:b/>
          <w:bCs/>
          <w:sz w:val="44"/>
          <w:szCs w:val="44"/>
          <w:lang w:val="en-US" w:eastAsia="zh-CN"/>
        </w:rPr>
        <w:t>9</w:t>
      </w:r>
      <w:r>
        <w:rPr>
          <w:rFonts w:hint="eastAsia" w:ascii="宋体" w:hAnsi="宋体" w:eastAsia="宋体" w:cs="宋体"/>
          <w:b/>
          <w:bCs/>
          <w:sz w:val="44"/>
          <w:szCs w:val="44"/>
        </w:rPr>
        <w:t>年政府信息公开工作年度报告</w:t>
      </w:r>
    </w:p>
    <w:p>
      <w:pPr>
        <w:rPr>
          <w:rFonts w:hint="eastAsia"/>
        </w:rPr>
      </w:pPr>
    </w:p>
    <w:p>
      <w:pPr>
        <w:keepNext w:val="0"/>
        <w:keepLines w:val="0"/>
        <w:pageBreakBefore w:val="0"/>
        <w:widowControl/>
        <w:kinsoku/>
        <w:wordWrap/>
        <w:overflowPunct/>
        <w:topLinePunct w:val="0"/>
        <w:autoSpaceDE/>
        <w:autoSpaceDN/>
        <w:bidi w:val="0"/>
        <w:adjustRightInd/>
        <w:spacing w:line="600" w:lineRule="exact"/>
        <w:ind w:firstLine="576" w:firstLineChars="200"/>
        <w:jc w:val="left"/>
        <w:textAlignment w:val="auto"/>
        <w:rPr>
          <w:rFonts w:hint="eastAsia" w:ascii="仿宋" w:hAnsi="仿宋" w:eastAsia="仿宋" w:cs="仿宋"/>
          <w:w w:val="90"/>
          <w:sz w:val="32"/>
          <w:szCs w:val="32"/>
        </w:rPr>
      </w:pPr>
      <w:r>
        <w:rPr>
          <w:rFonts w:hint="eastAsia" w:ascii="仿宋_GB2312" w:hAnsi="宋体" w:eastAsia="仿宋_GB2312" w:cs="宋体"/>
          <w:w w:val="90"/>
          <w:kern w:val="0"/>
          <w:sz w:val="32"/>
          <w:szCs w:val="32"/>
        </w:rPr>
        <w:t>根据《中华人民共和国政府信息公开条例》、</w:t>
      </w:r>
      <w:r>
        <w:rPr>
          <w:rFonts w:hint="eastAsia" w:ascii="仿宋_GB2312" w:hAnsi="宋体" w:eastAsia="仿宋_GB2312" w:cs="宋体"/>
          <w:w w:val="90"/>
          <w:kern w:val="0"/>
          <w:sz w:val="32"/>
          <w:szCs w:val="32"/>
          <w:lang w:eastAsia="zh-CN"/>
        </w:rPr>
        <w:t>永和县</w:t>
      </w:r>
      <w:r>
        <w:rPr>
          <w:rFonts w:hint="eastAsia" w:ascii="仿宋_GB2312" w:hAnsi="宋体" w:eastAsia="仿宋_GB2312" w:cs="宋体"/>
          <w:w w:val="90"/>
          <w:kern w:val="0"/>
          <w:sz w:val="32"/>
          <w:szCs w:val="32"/>
        </w:rPr>
        <w:t>人民政府</w:t>
      </w:r>
      <w:r>
        <w:rPr>
          <w:rFonts w:hint="eastAsia" w:ascii="仿宋_GB2312" w:hAnsi="宋体" w:eastAsia="仿宋_GB2312" w:cs="宋体"/>
          <w:w w:val="90"/>
          <w:kern w:val="0"/>
          <w:sz w:val="32"/>
          <w:szCs w:val="32"/>
          <w:lang w:eastAsia="zh-CN"/>
        </w:rPr>
        <w:t>办公室</w:t>
      </w:r>
      <w:r>
        <w:rPr>
          <w:rFonts w:hint="eastAsia" w:ascii="仿宋_GB2312" w:hAnsi="宋体" w:eastAsia="仿宋_GB2312" w:cs="宋体"/>
          <w:w w:val="90"/>
          <w:kern w:val="0"/>
          <w:sz w:val="32"/>
          <w:szCs w:val="32"/>
        </w:rPr>
        <w:t>《关于做好201</w:t>
      </w:r>
      <w:r>
        <w:rPr>
          <w:rFonts w:hint="eastAsia" w:ascii="仿宋_GB2312" w:hAnsi="宋体" w:eastAsia="仿宋_GB2312" w:cs="宋体"/>
          <w:w w:val="90"/>
          <w:kern w:val="0"/>
          <w:sz w:val="32"/>
          <w:szCs w:val="32"/>
          <w:lang w:val="en-US" w:eastAsia="zh-CN"/>
        </w:rPr>
        <w:t>9</w:t>
      </w:r>
      <w:r>
        <w:rPr>
          <w:rFonts w:hint="eastAsia" w:ascii="仿宋_GB2312" w:hAnsi="宋体" w:eastAsia="仿宋_GB2312" w:cs="宋体"/>
          <w:w w:val="90"/>
          <w:kern w:val="0"/>
          <w:sz w:val="32"/>
          <w:szCs w:val="32"/>
        </w:rPr>
        <w:t>政府信息公开</w:t>
      </w:r>
      <w:r>
        <w:rPr>
          <w:rFonts w:hint="eastAsia" w:ascii="仿宋_GB2312" w:hAnsi="宋体" w:eastAsia="仿宋_GB2312" w:cs="宋体"/>
          <w:w w:val="90"/>
          <w:kern w:val="0"/>
          <w:sz w:val="32"/>
          <w:szCs w:val="32"/>
          <w:lang w:eastAsia="zh-CN"/>
        </w:rPr>
        <w:t>年报相关工作的通知</w:t>
      </w:r>
      <w:r>
        <w:rPr>
          <w:rFonts w:hint="eastAsia" w:ascii="仿宋_GB2312" w:hAnsi="宋体" w:eastAsia="仿宋_GB2312" w:cs="宋体"/>
          <w:w w:val="90"/>
          <w:kern w:val="0"/>
          <w:sz w:val="32"/>
          <w:szCs w:val="32"/>
        </w:rPr>
        <w:t>》要求，结合我局政务信息公开情况，现公布</w:t>
      </w:r>
      <w:r>
        <w:rPr>
          <w:rFonts w:hint="eastAsia" w:ascii="仿宋_GB2312" w:hAnsi="宋体" w:eastAsia="仿宋_GB2312" w:cs="宋体"/>
          <w:w w:val="90"/>
          <w:kern w:val="0"/>
          <w:sz w:val="32"/>
          <w:szCs w:val="32"/>
          <w:lang w:eastAsia="zh-CN"/>
        </w:rPr>
        <w:t>永和</w:t>
      </w:r>
      <w:r>
        <w:rPr>
          <w:rFonts w:hint="eastAsia" w:ascii="仿宋_GB2312" w:hAnsi="宋体" w:eastAsia="仿宋_GB2312" w:cs="宋体"/>
          <w:w w:val="90"/>
          <w:kern w:val="0"/>
          <w:sz w:val="32"/>
          <w:szCs w:val="32"/>
        </w:rPr>
        <w:t>县</w:t>
      </w:r>
      <w:r>
        <w:rPr>
          <w:rFonts w:hint="eastAsia" w:ascii="仿宋_GB2312" w:hAnsi="宋体" w:eastAsia="仿宋_GB2312" w:cs="宋体"/>
          <w:w w:val="90"/>
          <w:kern w:val="0"/>
          <w:sz w:val="32"/>
          <w:szCs w:val="32"/>
          <w:lang w:eastAsia="zh-CN"/>
        </w:rPr>
        <w:t>市场监督管理</w:t>
      </w:r>
      <w:r>
        <w:rPr>
          <w:rFonts w:hint="eastAsia" w:ascii="仿宋_GB2312" w:hAnsi="宋体" w:eastAsia="仿宋_GB2312" w:cs="宋体"/>
          <w:w w:val="90"/>
          <w:kern w:val="0"/>
          <w:sz w:val="32"/>
          <w:szCs w:val="32"/>
        </w:rPr>
        <w:t>局201</w:t>
      </w:r>
      <w:r>
        <w:rPr>
          <w:rFonts w:hint="eastAsia" w:ascii="仿宋_GB2312" w:hAnsi="宋体" w:eastAsia="仿宋_GB2312" w:cs="宋体"/>
          <w:w w:val="90"/>
          <w:kern w:val="0"/>
          <w:sz w:val="32"/>
          <w:szCs w:val="32"/>
          <w:lang w:val="en-US" w:eastAsia="zh-CN"/>
        </w:rPr>
        <w:t>9</w:t>
      </w:r>
      <w:r>
        <w:rPr>
          <w:rFonts w:hint="eastAsia" w:ascii="仿宋_GB2312" w:hAnsi="宋体" w:eastAsia="仿宋_GB2312" w:cs="宋体"/>
          <w:w w:val="90"/>
          <w:kern w:val="0"/>
          <w:sz w:val="32"/>
          <w:szCs w:val="32"/>
        </w:rPr>
        <w:t>年政府信息公开工作年度报告。报告内容由</w:t>
      </w:r>
      <w:r>
        <w:rPr>
          <w:rFonts w:hint="eastAsia" w:ascii="仿宋" w:hAnsi="仿宋" w:eastAsia="仿宋" w:cs="仿宋"/>
          <w:i w:val="0"/>
          <w:caps w:val="0"/>
          <w:color w:val="000000"/>
          <w:spacing w:val="0"/>
          <w:w w:val="90"/>
          <w:sz w:val="32"/>
          <w:szCs w:val="32"/>
        </w:rPr>
        <w:t>总体情况</w:t>
      </w:r>
      <w:r>
        <w:rPr>
          <w:rFonts w:hint="eastAsia" w:ascii="仿宋" w:hAnsi="仿宋" w:eastAsia="仿宋" w:cs="仿宋"/>
          <w:i w:val="0"/>
          <w:caps w:val="0"/>
          <w:color w:val="000000"/>
          <w:spacing w:val="0"/>
          <w:w w:val="90"/>
          <w:sz w:val="32"/>
          <w:szCs w:val="32"/>
          <w:lang w:eastAsia="zh-CN"/>
        </w:rPr>
        <w:t>，</w:t>
      </w:r>
      <w:r>
        <w:rPr>
          <w:rFonts w:hint="eastAsia" w:ascii="仿宋" w:hAnsi="仿宋" w:eastAsia="仿宋" w:cs="仿宋"/>
          <w:i w:val="0"/>
          <w:caps w:val="0"/>
          <w:color w:val="000000"/>
          <w:spacing w:val="0"/>
          <w:w w:val="90"/>
          <w:sz w:val="32"/>
          <w:szCs w:val="32"/>
        </w:rPr>
        <w:t>主动公开政府信息情况</w:t>
      </w:r>
      <w:r>
        <w:rPr>
          <w:rFonts w:hint="eastAsia" w:ascii="仿宋" w:hAnsi="仿宋" w:eastAsia="仿宋" w:cs="仿宋"/>
          <w:i w:val="0"/>
          <w:caps w:val="0"/>
          <w:color w:val="000000"/>
          <w:spacing w:val="0"/>
          <w:w w:val="90"/>
          <w:sz w:val="32"/>
          <w:szCs w:val="32"/>
          <w:lang w:eastAsia="zh-CN"/>
        </w:rPr>
        <w:t>，</w:t>
      </w:r>
      <w:r>
        <w:rPr>
          <w:rFonts w:hint="eastAsia" w:ascii="仿宋" w:hAnsi="仿宋" w:eastAsia="仿宋" w:cs="仿宋"/>
          <w:i w:val="0"/>
          <w:caps w:val="0"/>
          <w:color w:val="000000"/>
          <w:spacing w:val="0"/>
          <w:w w:val="90"/>
          <w:sz w:val="32"/>
          <w:szCs w:val="32"/>
        </w:rPr>
        <w:t>收到和处理政府信息公开申请情况</w:t>
      </w:r>
      <w:r>
        <w:rPr>
          <w:rFonts w:hint="eastAsia" w:ascii="仿宋" w:hAnsi="仿宋" w:eastAsia="仿宋" w:cs="仿宋"/>
          <w:i w:val="0"/>
          <w:caps w:val="0"/>
          <w:color w:val="000000"/>
          <w:spacing w:val="0"/>
          <w:w w:val="90"/>
          <w:sz w:val="32"/>
          <w:szCs w:val="32"/>
          <w:lang w:eastAsia="zh-CN"/>
        </w:rPr>
        <w:t>，</w:t>
      </w:r>
      <w:r>
        <w:rPr>
          <w:rFonts w:hint="eastAsia" w:ascii="仿宋" w:hAnsi="仿宋" w:eastAsia="仿宋" w:cs="仿宋"/>
          <w:i w:val="0"/>
          <w:caps w:val="0"/>
          <w:color w:val="000000"/>
          <w:spacing w:val="0"/>
          <w:w w:val="90"/>
          <w:sz w:val="32"/>
          <w:szCs w:val="32"/>
        </w:rPr>
        <w:t>政府信息公开行政复议</w:t>
      </w:r>
      <w:r>
        <w:rPr>
          <w:rFonts w:hint="eastAsia" w:ascii="仿宋" w:hAnsi="仿宋" w:eastAsia="仿宋" w:cs="仿宋"/>
          <w:i w:val="0"/>
          <w:caps w:val="0"/>
          <w:color w:val="000000"/>
          <w:spacing w:val="0"/>
          <w:w w:val="90"/>
          <w:sz w:val="32"/>
          <w:szCs w:val="32"/>
          <w:lang w:eastAsia="zh-CN"/>
        </w:rPr>
        <w:t>、提起</w:t>
      </w:r>
      <w:r>
        <w:rPr>
          <w:rFonts w:hint="eastAsia" w:ascii="仿宋" w:hAnsi="仿宋" w:eastAsia="仿宋" w:cs="仿宋"/>
          <w:i w:val="0"/>
          <w:caps w:val="0"/>
          <w:color w:val="000000"/>
          <w:spacing w:val="0"/>
          <w:w w:val="90"/>
          <w:sz w:val="32"/>
          <w:szCs w:val="32"/>
        </w:rPr>
        <w:t>行政诉讼情况</w:t>
      </w:r>
      <w:r>
        <w:rPr>
          <w:rFonts w:hint="eastAsia" w:ascii="仿宋" w:hAnsi="仿宋" w:eastAsia="仿宋" w:cs="仿宋"/>
          <w:i w:val="0"/>
          <w:caps w:val="0"/>
          <w:color w:val="000000"/>
          <w:spacing w:val="0"/>
          <w:w w:val="90"/>
          <w:sz w:val="32"/>
          <w:szCs w:val="32"/>
          <w:lang w:eastAsia="zh-CN"/>
        </w:rPr>
        <w:t>，</w:t>
      </w:r>
      <w:r>
        <w:rPr>
          <w:rFonts w:hint="eastAsia" w:ascii="仿宋" w:hAnsi="仿宋" w:eastAsia="仿宋" w:cs="仿宋"/>
          <w:i w:val="0"/>
          <w:caps w:val="0"/>
          <w:color w:val="000000"/>
          <w:spacing w:val="0"/>
          <w:w w:val="90"/>
          <w:sz w:val="32"/>
          <w:szCs w:val="32"/>
        </w:rPr>
        <w:t>存在的主要问题及改进情况</w:t>
      </w:r>
      <w:r>
        <w:rPr>
          <w:rFonts w:hint="eastAsia" w:ascii="仿宋" w:hAnsi="仿宋" w:eastAsia="仿宋" w:cs="仿宋"/>
          <w:i w:val="0"/>
          <w:caps w:val="0"/>
          <w:color w:val="000000"/>
          <w:spacing w:val="0"/>
          <w:w w:val="90"/>
          <w:sz w:val="32"/>
          <w:szCs w:val="32"/>
          <w:lang w:eastAsia="zh-CN"/>
        </w:rPr>
        <w:t>，</w:t>
      </w:r>
      <w:r>
        <w:rPr>
          <w:rFonts w:hint="eastAsia" w:ascii="仿宋" w:hAnsi="仿宋" w:eastAsia="仿宋" w:cs="仿宋"/>
          <w:i w:val="0"/>
          <w:caps w:val="0"/>
          <w:color w:val="000000"/>
          <w:spacing w:val="0"/>
          <w:w w:val="90"/>
          <w:sz w:val="32"/>
          <w:szCs w:val="32"/>
        </w:rPr>
        <w:t>其他需要报告的事项</w:t>
      </w:r>
      <w:r>
        <w:rPr>
          <w:rFonts w:ascii="仿宋" w:hAnsi="仿宋" w:eastAsia="仿宋" w:cs="仿宋"/>
          <w:i w:val="0"/>
          <w:caps w:val="0"/>
          <w:color w:val="000000"/>
          <w:spacing w:val="0"/>
          <w:w w:val="90"/>
          <w:sz w:val="32"/>
          <w:szCs w:val="32"/>
        </w:rPr>
        <w:t>等部分组成</w:t>
      </w:r>
      <w:r>
        <w:rPr>
          <w:rFonts w:hint="eastAsia" w:ascii="仿宋_GB2312" w:hAnsi="宋体" w:eastAsia="仿宋_GB2312" w:cs="宋体"/>
          <w:w w:val="90"/>
          <w:kern w:val="0"/>
          <w:sz w:val="32"/>
          <w:szCs w:val="32"/>
        </w:rPr>
        <w:t>。本报告中所列数据的统计期限自201</w:t>
      </w:r>
      <w:r>
        <w:rPr>
          <w:rFonts w:hint="eastAsia" w:ascii="仿宋_GB2312" w:hAnsi="宋体" w:eastAsia="仿宋_GB2312" w:cs="宋体"/>
          <w:w w:val="90"/>
          <w:kern w:val="0"/>
          <w:sz w:val="32"/>
          <w:szCs w:val="32"/>
          <w:lang w:val="en-US" w:eastAsia="zh-CN"/>
        </w:rPr>
        <w:t>9</w:t>
      </w:r>
      <w:r>
        <w:rPr>
          <w:rFonts w:hint="eastAsia" w:ascii="仿宋_GB2312" w:hAnsi="宋体" w:eastAsia="仿宋_GB2312" w:cs="宋体"/>
          <w:w w:val="90"/>
          <w:kern w:val="0"/>
          <w:sz w:val="32"/>
          <w:szCs w:val="32"/>
        </w:rPr>
        <w:t>年1月1日起至201</w:t>
      </w:r>
      <w:r>
        <w:rPr>
          <w:rFonts w:hint="eastAsia" w:ascii="仿宋_GB2312" w:hAnsi="宋体" w:eastAsia="仿宋_GB2312" w:cs="宋体"/>
          <w:w w:val="90"/>
          <w:kern w:val="0"/>
          <w:sz w:val="32"/>
          <w:szCs w:val="32"/>
          <w:lang w:val="en-US" w:eastAsia="zh-CN"/>
        </w:rPr>
        <w:t>9</w:t>
      </w:r>
      <w:r>
        <w:rPr>
          <w:rFonts w:hint="eastAsia" w:ascii="仿宋_GB2312" w:hAnsi="宋体" w:eastAsia="仿宋_GB2312" w:cs="宋体"/>
          <w:w w:val="90"/>
          <w:kern w:val="0"/>
          <w:sz w:val="32"/>
          <w:szCs w:val="32"/>
        </w:rPr>
        <w:t>年12月31日止。</w:t>
      </w:r>
    </w:p>
    <w:p>
      <w:pPr>
        <w:keepNext w:val="0"/>
        <w:keepLines w:val="0"/>
        <w:pageBreakBefore w:val="0"/>
        <w:widowControl w:val="0"/>
        <w:kinsoku/>
        <w:wordWrap/>
        <w:overflowPunct/>
        <w:topLinePunct w:val="0"/>
        <w:autoSpaceDE/>
        <w:autoSpaceDN/>
        <w:bidi w:val="0"/>
        <w:adjustRightInd/>
        <w:snapToGrid/>
        <w:spacing w:line="700" w:lineRule="exact"/>
        <w:ind w:firstLine="576" w:firstLineChars="200"/>
        <w:textAlignment w:val="auto"/>
        <w:rPr>
          <w:rFonts w:hint="eastAsia" w:ascii="黑体" w:hAnsi="黑体" w:eastAsia="黑体" w:cs="黑体"/>
          <w:w w:val="90"/>
          <w:sz w:val="32"/>
          <w:szCs w:val="32"/>
          <w:lang w:eastAsia="zh-CN"/>
        </w:rPr>
      </w:pPr>
      <w:r>
        <w:rPr>
          <w:rFonts w:hint="eastAsia" w:ascii="黑体" w:hAnsi="黑体" w:eastAsia="黑体" w:cs="黑体"/>
          <w:w w:val="90"/>
          <w:sz w:val="32"/>
          <w:szCs w:val="32"/>
        </w:rPr>
        <w:t>一、</w:t>
      </w:r>
      <w:r>
        <w:rPr>
          <w:rFonts w:hint="eastAsia" w:ascii="黑体" w:hAnsi="黑体" w:eastAsia="黑体" w:cs="黑体"/>
          <w:w w:val="90"/>
          <w:sz w:val="32"/>
          <w:szCs w:val="32"/>
          <w:lang w:eastAsia="zh-CN"/>
        </w:rPr>
        <w:t>总体情况</w:t>
      </w:r>
    </w:p>
    <w:p>
      <w:pPr>
        <w:keepNext w:val="0"/>
        <w:keepLines w:val="0"/>
        <w:pageBreakBefore w:val="0"/>
        <w:widowControl/>
        <w:numPr>
          <w:ilvl w:val="0"/>
          <w:numId w:val="0"/>
        </w:numPr>
        <w:kinsoku/>
        <w:wordWrap/>
        <w:overflowPunct/>
        <w:topLinePunct w:val="0"/>
        <w:autoSpaceDE/>
        <w:autoSpaceDN/>
        <w:bidi w:val="0"/>
        <w:adjustRightInd/>
        <w:spacing w:line="600" w:lineRule="exact"/>
        <w:ind w:firstLine="576" w:firstLineChars="200"/>
        <w:jc w:val="left"/>
        <w:textAlignment w:val="auto"/>
        <w:rPr>
          <w:rFonts w:hint="eastAsia" w:ascii="仿宋_GB2312" w:hAnsi="宋体" w:eastAsia="仿宋_GB2312" w:cs="宋体"/>
          <w:w w:val="90"/>
          <w:kern w:val="0"/>
          <w:sz w:val="32"/>
          <w:szCs w:val="32"/>
        </w:rPr>
      </w:pPr>
      <w:r>
        <w:rPr>
          <w:rFonts w:hint="eastAsia" w:ascii="仿宋_GB2312" w:hAnsi="宋体" w:eastAsia="仿宋_GB2312" w:cs="宋体"/>
          <w:w w:val="90"/>
          <w:kern w:val="0"/>
          <w:sz w:val="32"/>
          <w:szCs w:val="32"/>
        </w:rPr>
        <w:t>201</w:t>
      </w:r>
      <w:r>
        <w:rPr>
          <w:rFonts w:hint="eastAsia" w:ascii="仿宋_GB2312" w:hAnsi="宋体" w:eastAsia="仿宋_GB2312" w:cs="宋体"/>
          <w:w w:val="90"/>
          <w:kern w:val="0"/>
          <w:sz w:val="32"/>
          <w:szCs w:val="32"/>
          <w:lang w:val="en-US" w:eastAsia="zh-CN"/>
        </w:rPr>
        <w:t>9</w:t>
      </w:r>
      <w:r>
        <w:rPr>
          <w:rFonts w:hint="eastAsia" w:ascii="仿宋_GB2312" w:hAnsi="宋体" w:eastAsia="仿宋_GB2312" w:cs="宋体"/>
          <w:w w:val="90"/>
          <w:kern w:val="0"/>
          <w:sz w:val="32"/>
          <w:szCs w:val="32"/>
        </w:rPr>
        <w:t>年</w:t>
      </w:r>
      <w:r>
        <w:rPr>
          <w:rFonts w:hint="eastAsia" w:ascii="仿宋_GB2312" w:hAnsi="宋体" w:eastAsia="仿宋_GB2312" w:cs="宋体"/>
          <w:w w:val="90"/>
          <w:kern w:val="0"/>
          <w:sz w:val="32"/>
          <w:szCs w:val="32"/>
          <w:lang w:eastAsia="zh-CN"/>
        </w:rPr>
        <w:t>永和县市场监督管理</w:t>
      </w:r>
      <w:r>
        <w:rPr>
          <w:rFonts w:hint="eastAsia" w:ascii="仿宋_GB2312" w:hAnsi="宋体" w:eastAsia="仿宋_GB2312" w:cs="宋体"/>
          <w:w w:val="90"/>
          <w:kern w:val="0"/>
          <w:sz w:val="32"/>
          <w:szCs w:val="32"/>
        </w:rPr>
        <w:t>局按照县委、县政府统一部署，加强组织领导，健全工作机制，认真贯彻《中华人民共和国政府信息公开条例》的各项要求，以规范化制度化</w:t>
      </w:r>
      <w:r>
        <w:rPr>
          <w:rFonts w:hint="eastAsia" w:ascii="仿宋_GB2312" w:hAnsi="宋体" w:eastAsia="仿宋_GB2312" w:cs="宋体"/>
          <w:w w:val="90"/>
          <w:kern w:val="0"/>
          <w:sz w:val="32"/>
          <w:szCs w:val="32"/>
          <w:lang w:eastAsia="zh-CN"/>
        </w:rPr>
        <w:t>建设</w:t>
      </w:r>
      <w:r>
        <w:rPr>
          <w:rFonts w:hint="eastAsia" w:ascii="仿宋_GB2312" w:hAnsi="宋体" w:eastAsia="仿宋_GB2312" w:cs="宋体"/>
          <w:w w:val="90"/>
          <w:kern w:val="0"/>
          <w:sz w:val="32"/>
          <w:szCs w:val="32"/>
        </w:rPr>
        <w:t>为着力点，促进了政府信息公开工作规范、有序、健康发展。</w:t>
      </w:r>
    </w:p>
    <w:p>
      <w:pPr>
        <w:keepNext w:val="0"/>
        <w:keepLines w:val="0"/>
        <w:pageBreakBefore w:val="0"/>
        <w:widowControl w:val="0"/>
        <w:kinsoku/>
        <w:wordWrap/>
        <w:overflowPunct/>
        <w:topLinePunct w:val="0"/>
        <w:autoSpaceDE/>
        <w:autoSpaceDN/>
        <w:bidi w:val="0"/>
        <w:adjustRightInd/>
        <w:snapToGrid/>
        <w:spacing w:line="700" w:lineRule="exact"/>
        <w:ind w:firstLine="576" w:firstLineChars="200"/>
        <w:textAlignment w:val="auto"/>
        <w:rPr>
          <w:rFonts w:hint="eastAsia" w:ascii="仿宋_GB2312" w:hAnsi="宋体" w:eastAsia="仿宋_GB2312" w:cs="宋体"/>
          <w:w w:val="90"/>
          <w:kern w:val="0"/>
          <w:sz w:val="32"/>
          <w:szCs w:val="32"/>
        </w:rPr>
      </w:pPr>
      <w:r>
        <w:rPr>
          <w:rFonts w:hint="eastAsia" w:ascii="楷体" w:hAnsi="楷体" w:eastAsia="楷体" w:cs="楷体"/>
          <w:w w:val="90"/>
          <w:sz w:val="32"/>
          <w:szCs w:val="32"/>
        </w:rPr>
        <w:t>（一）建章立制，夯实基础。</w:t>
      </w:r>
      <w:r>
        <w:rPr>
          <w:rFonts w:hint="eastAsia" w:ascii="仿宋_GB2312" w:hAnsi="宋体" w:eastAsia="仿宋_GB2312" w:cs="宋体"/>
          <w:w w:val="90"/>
          <w:kern w:val="0"/>
          <w:sz w:val="32"/>
          <w:szCs w:val="32"/>
        </w:rPr>
        <w:t>将政府信息公开工作纳入本单位工作的重要安排。成立了由局主要负责同志任组长，各</w:t>
      </w:r>
      <w:r>
        <w:rPr>
          <w:rFonts w:hint="eastAsia" w:ascii="仿宋_GB2312" w:hAnsi="宋体" w:eastAsia="仿宋_GB2312" w:cs="宋体"/>
          <w:w w:val="90"/>
          <w:kern w:val="0"/>
          <w:sz w:val="32"/>
          <w:szCs w:val="32"/>
          <w:lang w:eastAsia="zh-CN"/>
        </w:rPr>
        <w:t>分管副职</w:t>
      </w:r>
      <w:r>
        <w:rPr>
          <w:rFonts w:hint="eastAsia" w:ascii="仿宋_GB2312" w:hAnsi="宋体" w:eastAsia="仿宋_GB2312" w:cs="宋体"/>
          <w:w w:val="90"/>
          <w:kern w:val="0"/>
          <w:sz w:val="32"/>
          <w:szCs w:val="32"/>
        </w:rPr>
        <w:t>为成员的信息公开工作领导小组，在局办公室成立政务信息公开管理办公室，加强对政务信息公开工作的指导和协调，坚持把信息公开作为扩大信息宣传、推动</w:t>
      </w:r>
      <w:r>
        <w:rPr>
          <w:rFonts w:hint="eastAsia" w:ascii="仿宋_GB2312" w:hAnsi="宋体" w:eastAsia="仿宋_GB2312" w:cs="宋体"/>
          <w:w w:val="90"/>
          <w:kern w:val="0"/>
          <w:sz w:val="32"/>
          <w:szCs w:val="32"/>
          <w:lang w:eastAsia="zh-CN"/>
        </w:rPr>
        <w:t>市场监管</w:t>
      </w:r>
      <w:r>
        <w:rPr>
          <w:rFonts w:hint="eastAsia" w:ascii="仿宋_GB2312" w:hAnsi="宋体" w:eastAsia="仿宋_GB2312" w:cs="宋体"/>
          <w:w w:val="90"/>
          <w:kern w:val="0"/>
          <w:sz w:val="32"/>
          <w:szCs w:val="32"/>
        </w:rPr>
        <w:t>工作、提高办事水平的重要渠道和窗口。</w:t>
      </w:r>
      <w:r>
        <w:rPr>
          <w:rFonts w:hint="eastAsia" w:ascii="仿宋_GB2312" w:hAnsi="宋体" w:eastAsia="仿宋_GB2312" w:cs="宋体"/>
          <w:w w:val="90"/>
          <w:kern w:val="0"/>
          <w:sz w:val="32"/>
          <w:szCs w:val="32"/>
          <w:lang w:eastAsia="zh-CN"/>
        </w:rPr>
        <w:t>研究出台了</w:t>
      </w:r>
      <w:r>
        <w:rPr>
          <w:rFonts w:hint="eastAsia" w:ascii="仿宋_GB2312" w:hAnsi="宋体" w:eastAsia="仿宋_GB2312" w:cs="宋体"/>
          <w:w w:val="90"/>
          <w:kern w:val="0"/>
          <w:sz w:val="32"/>
          <w:szCs w:val="32"/>
        </w:rPr>
        <w:t>《</w:t>
      </w:r>
      <w:r>
        <w:rPr>
          <w:rFonts w:hint="eastAsia" w:ascii="仿宋_GB2312" w:hAnsi="宋体" w:eastAsia="仿宋_GB2312" w:cs="宋体"/>
          <w:w w:val="90"/>
          <w:kern w:val="0"/>
          <w:sz w:val="32"/>
          <w:szCs w:val="32"/>
          <w:lang w:eastAsia="zh-CN"/>
        </w:rPr>
        <w:t>永和县市场监督管理局</w:t>
      </w:r>
      <w:r>
        <w:rPr>
          <w:rFonts w:hint="eastAsia" w:ascii="仿宋_GB2312" w:hAnsi="宋体" w:eastAsia="仿宋_GB2312" w:cs="宋体"/>
          <w:w w:val="90"/>
          <w:kern w:val="0"/>
          <w:sz w:val="32"/>
          <w:szCs w:val="32"/>
        </w:rPr>
        <w:t>信息公开制度》、《</w:t>
      </w:r>
      <w:r>
        <w:rPr>
          <w:rFonts w:hint="eastAsia" w:ascii="仿宋_GB2312" w:hAnsi="宋体" w:eastAsia="仿宋_GB2312" w:cs="宋体"/>
          <w:w w:val="90"/>
          <w:kern w:val="0"/>
          <w:sz w:val="32"/>
          <w:szCs w:val="32"/>
          <w:lang w:eastAsia="zh-CN"/>
        </w:rPr>
        <w:t>永和县市场监督管理局</w:t>
      </w:r>
      <w:r>
        <w:rPr>
          <w:rFonts w:hint="eastAsia" w:ascii="仿宋_GB2312" w:hAnsi="宋体" w:eastAsia="仿宋_GB2312" w:cs="宋体"/>
          <w:w w:val="90"/>
          <w:kern w:val="0"/>
          <w:sz w:val="32"/>
          <w:szCs w:val="32"/>
        </w:rPr>
        <w:t>限时办结制度》等工作制度，通过建立规章制度，规范信息公开操作程序，建立完善的政府信息公开审批、发布、</w:t>
      </w:r>
      <w:r>
        <w:rPr>
          <w:rFonts w:hint="eastAsia" w:ascii="仿宋_GB2312" w:hAnsi="宋体" w:eastAsia="仿宋_GB2312" w:cs="宋体"/>
          <w:w w:val="90"/>
          <w:kern w:val="0"/>
          <w:sz w:val="32"/>
          <w:szCs w:val="32"/>
          <w:lang w:eastAsia="zh-CN"/>
        </w:rPr>
        <w:t>审查</w:t>
      </w:r>
      <w:r>
        <w:rPr>
          <w:rFonts w:hint="eastAsia" w:ascii="仿宋_GB2312" w:hAnsi="宋体" w:eastAsia="仿宋_GB2312" w:cs="宋体"/>
          <w:w w:val="90"/>
          <w:kern w:val="0"/>
          <w:sz w:val="32"/>
          <w:szCs w:val="32"/>
        </w:rPr>
        <w:t>制度，确保了我局政府信息公开规范、有序进行。</w:t>
      </w:r>
    </w:p>
    <w:p>
      <w:pPr>
        <w:keepNext w:val="0"/>
        <w:keepLines w:val="0"/>
        <w:pageBreakBefore w:val="0"/>
        <w:widowControl w:val="0"/>
        <w:kinsoku/>
        <w:wordWrap/>
        <w:overflowPunct/>
        <w:topLinePunct w:val="0"/>
        <w:autoSpaceDE/>
        <w:autoSpaceDN/>
        <w:bidi w:val="0"/>
        <w:adjustRightInd/>
        <w:snapToGrid/>
        <w:spacing w:line="700" w:lineRule="exact"/>
        <w:ind w:firstLine="576" w:firstLineChars="200"/>
        <w:textAlignment w:val="auto"/>
        <w:rPr>
          <w:rFonts w:hint="eastAsia" w:ascii="仿宋" w:hAnsi="仿宋" w:eastAsia="仿宋" w:cs="仿宋"/>
          <w:w w:val="90"/>
          <w:sz w:val="32"/>
          <w:szCs w:val="32"/>
        </w:rPr>
      </w:pPr>
      <w:r>
        <w:rPr>
          <w:rFonts w:hint="eastAsia" w:ascii="楷体" w:hAnsi="楷体" w:eastAsia="楷体" w:cs="楷体"/>
          <w:w w:val="90"/>
          <w:sz w:val="32"/>
          <w:szCs w:val="32"/>
        </w:rPr>
        <w:t>（二）把好源头，提高效率。</w:t>
      </w:r>
      <w:r>
        <w:rPr>
          <w:rFonts w:hint="eastAsia" w:ascii="仿宋" w:hAnsi="仿宋" w:eastAsia="仿宋" w:cs="仿宋"/>
          <w:w w:val="90"/>
          <w:sz w:val="32"/>
          <w:szCs w:val="32"/>
        </w:rPr>
        <w:t>紧紧围绕</w:t>
      </w:r>
      <w:r>
        <w:rPr>
          <w:rFonts w:hint="eastAsia" w:ascii="仿宋" w:hAnsi="仿宋" w:eastAsia="仿宋" w:cs="仿宋"/>
          <w:w w:val="90"/>
          <w:sz w:val="32"/>
          <w:szCs w:val="32"/>
          <w:lang w:eastAsia="zh-CN"/>
        </w:rPr>
        <w:t>市场监管</w:t>
      </w:r>
      <w:r>
        <w:rPr>
          <w:rFonts w:hint="eastAsia" w:ascii="仿宋" w:hAnsi="仿宋" w:eastAsia="仿宋" w:cs="仿宋"/>
          <w:w w:val="90"/>
          <w:sz w:val="32"/>
          <w:szCs w:val="32"/>
        </w:rPr>
        <w:t>工作重点，提高发布信息的质量和实用性，缩短发布时间，狠抓信息质量，对发布的每一条信息，从文字、内容、时效上严格把关，逐一审查，时间注重“快”，内容突出“实”，实用性要求“精”，更加方便群众了解情况、反映问题、解决问题。同时，严格遵循“先审查、后发布，谁公开、谁负责”的原则，加大对拟公开的政府信息的保密审查力度，确保做到公开不涉密、涉密不公开。</w:t>
      </w:r>
    </w:p>
    <w:p>
      <w:pPr>
        <w:keepNext w:val="0"/>
        <w:keepLines w:val="0"/>
        <w:pageBreakBefore w:val="0"/>
        <w:widowControl w:val="0"/>
        <w:kinsoku/>
        <w:wordWrap/>
        <w:overflowPunct/>
        <w:topLinePunct w:val="0"/>
        <w:autoSpaceDE/>
        <w:autoSpaceDN/>
        <w:bidi w:val="0"/>
        <w:adjustRightInd/>
        <w:snapToGrid/>
        <w:spacing w:line="700" w:lineRule="exact"/>
        <w:ind w:firstLine="576" w:firstLineChars="200"/>
        <w:textAlignment w:val="auto"/>
        <w:rPr>
          <w:rFonts w:hint="eastAsia" w:ascii="仿宋" w:hAnsi="仿宋" w:eastAsia="仿宋" w:cs="仿宋"/>
          <w:w w:val="90"/>
          <w:sz w:val="32"/>
          <w:szCs w:val="32"/>
          <w:lang w:eastAsia="zh-CN"/>
        </w:rPr>
      </w:pPr>
      <w:r>
        <w:rPr>
          <w:rFonts w:hint="eastAsia" w:ascii="楷体" w:hAnsi="楷体" w:eastAsia="楷体" w:cs="楷体"/>
          <w:w w:val="90"/>
          <w:sz w:val="32"/>
          <w:szCs w:val="32"/>
        </w:rPr>
        <w:t>（三）拓展渠道，丰富内涵。</w:t>
      </w:r>
      <w:r>
        <w:rPr>
          <w:rFonts w:hint="eastAsia" w:ascii="仿宋" w:hAnsi="仿宋" w:eastAsia="仿宋" w:cs="仿宋"/>
          <w:w w:val="90"/>
          <w:sz w:val="32"/>
          <w:szCs w:val="32"/>
        </w:rPr>
        <w:t>我局积极拓宽渠道，丰富载体，完善内容，不断深化信息公开活动。在充分发挥</w:t>
      </w:r>
      <w:r>
        <w:rPr>
          <w:rFonts w:hint="eastAsia" w:ascii="仿宋" w:hAnsi="仿宋" w:eastAsia="仿宋" w:cs="仿宋"/>
          <w:w w:val="90"/>
          <w:sz w:val="32"/>
          <w:szCs w:val="32"/>
          <w:lang w:eastAsia="zh-CN"/>
        </w:rPr>
        <w:t>政府网站，审批</w:t>
      </w:r>
      <w:r>
        <w:rPr>
          <w:rFonts w:hint="eastAsia" w:ascii="仿宋" w:hAnsi="仿宋" w:eastAsia="仿宋" w:cs="仿宋"/>
          <w:w w:val="90"/>
          <w:sz w:val="32"/>
          <w:szCs w:val="32"/>
        </w:rPr>
        <w:t>窗口、</w:t>
      </w:r>
      <w:r>
        <w:rPr>
          <w:rFonts w:hint="eastAsia" w:ascii="仿宋" w:hAnsi="仿宋" w:eastAsia="仿宋" w:cs="仿宋"/>
          <w:w w:val="90"/>
          <w:sz w:val="32"/>
          <w:szCs w:val="32"/>
          <w:lang w:eastAsia="zh-CN"/>
        </w:rPr>
        <w:t>公告</w:t>
      </w:r>
      <w:r>
        <w:rPr>
          <w:rFonts w:hint="eastAsia" w:ascii="仿宋" w:hAnsi="仿宋" w:eastAsia="仿宋" w:cs="仿宋"/>
          <w:w w:val="90"/>
          <w:sz w:val="32"/>
          <w:szCs w:val="32"/>
        </w:rPr>
        <w:t>等作用的同时，还</w:t>
      </w:r>
      <w:r>
        <w:rPr>
          <w:rFonts w:hint="eastAsia" w:ascii="仿宋" w:hAnsi="仿宋" w:eastAsia="仿宋" w:cs="仿宋"/>
          <w:w w:val="90"/>
          <w:sz w:val="32"/>
          <w:szCs w:val="32"/>
          <w:lang w:eastAsia="zh-CN"/>
        </w:rPr>
        <w:t>发挥</w:t>
      </w:r>
      <w:r>
        <w:rPr>
          <w:rFonts w:hint="eastAsia" w:ascii="仿宋" w:hAnsi="仿宋" w:eastAsia="仿宋" w:cs="仿宋"/>
          <w:w w:val="90"/>
          <w:sz w:val="32"/>
          <w:szCs w:val="32"/>
          <w:lang w:val="en-US" w:eastAsia="zh-CN"/>
        </w:rPr>
        <w:t>12315、</w:t>
      </w:r>
      <w:r>
        <w:rPr>
          <w:rFonts w:hint="eastAsia" w:ascii="仿宋" w:hAnsi="仿宋" w:eastAsia="仿宋" w:cs="仿宋"/>
          <w:w w:val="90"/>
          <w:sz w:val="32"/>
          <w:szCs w:val="32"/>
          <w:lang w:eastAsia="zh-CN"/>
        </w:rPr>
        <w:t>智慧党建</w:t>
      </w:r>
      <w:r>
        <w:rPr>
          <w:rFonts w:hint="eastAsia" w:ascii="仿宋" w:hAnsi="仿宋" w:eastAsia="仿宋" w:cs="仿宋"/>
          <w:w w:val="90"/>
          <w:sz w:val="32"/>
          <w:szCs w:val="32"/>
        </w:rPr>
        <w:t>等信息平台的作用，突出实用性、互动性，使</w:t>
      </w:r>
      <w:r>
        <w:rPr>
          <w:rFonts w:hint="eastAsia" w:ascii="仿宋" w:hAnsi="仿宋" w:eastAsia="仿宋" w:cs="仿宋"/>
          <w:w w:val="90"/>
          <w:sz w:val="32"/>
          <w:szCs w:val="32"/>
          <w:lang w:eastAsia="zh-CN"/>
        </w:rPr>
        <w:t>公众</w:t>
      </w:r>
      <w:r>
        <w:rPr>
          <w:rFonts w:hint="eastAsia" w:ascii="仿宋" w:hAnsi="仿宋" w:eastAsia="仿宋" w:cs="仿宋"/>
          <w:w w:val="90"/>
          <w:sz w:val="32"/>
          <w:szCs w:val="32"/>
        </w:rPr>
        <w:t>能够更加便捷地查阅业务办事流程。为进一步深化“放管服”改革，全面贯彻落实“最多跑一次”工作法</w:t>
      </w:r>
      <w:r>
        <w:rPr>
          <w:rFonts w:hint="eastAsia" w:ascii="仿宋" w:hAnsi="仿宋" w:eastAsia="仿宋" w:cs="仿宋"/>
          <w:w w:val="9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576" w:firstLineChars="200"/>
        <w:textAlignment w:val="auto"/>
        <w:rPr>
          <w:rFonts w:hint="eastAsia" w:ascii="仿宋" w:hAnsi="仿宋" w:eastAsia="仿宋" w:cs="仿宋"/>
          <w:w w:val="90"/>
          <w:sz w:val="32"/>
          <w:szCs w:val="32"/>
        </w:rPr>
      </w:pPr>
      <w:r>
        <w:rPr>
          <w:rFonts w:hint="eastAsia" w:ascii="楷体" w:hAnsi="楷体" w:eastAsia="楷体" w:cs="楷体"/>
          <w:w w:val="90"/>
          <w:sz w:val="32"/>
          <w:szCs w:val="32"/>
        </w:rPr>
        <w:t>（四）内部督促，社会监督。</w:t>
      </w:r>
      <w:r>
        <w:rPr>
          <w:rFonts w:hint="eastAsia" w:ascii="仿宋" w:hAnsi="仿宋" w:eastAsia="仿宋" w:cs="仿宋"/>
          <w:w w:val="90"/>
          <w:sz w:val="32"/>
          <w:szCs w:val="32"/>
        </w:rPr>
        <w:t>一是内部监督。</w:t>
      </w:r>
      <w:r>
        <w:rPr>
          <w:rFonts w:hint="eastAsia" w:ascii="仿宋" w:hAnsi="仿宋" w:eastAsia="仿宋" w:cs="仿宋"/>
          <w:w w:val="90"/>
          <w:sz w:val="32"/>
          <w:szCs w:val="32"/>
          <w:lang w:eastAsia="zh-CN"/>
        </w:rPr>
        <w:t>一把手</w:t>
      </w:r>
      <w:r>
        <w:rPr>
          <w:rFonts w:hint="eastAsia" w:ascii="仿宋" w:hAnsi="仿宋" w:eastAsia="仿宋" w:cs="仿宋"/>
          <w:w w:val="90"/>
          <w:sz w:val="32"/>
          <w:szCs w:val="32"/>
        </w:rPr>
        <w:t>负责政府信息公开的日常监督和组织协调，发现问题，及时纠正，督促整改，并将此项工作纳入年度目标责任考核中；二是群众监督。设立了投诉电话和投诉箱，对因服务态度等原因造成的投诉，认真查实，及时处理；对群众反映的问题能够及时向有关领导反馈，并迅速研究、制定整改措施；三是社会监督。2019年多次邀请人大代表、政协委员、行风监督员和社会各界人士对我局的政府信息公开情况进行民主评议，不断提升政府信息公开水平，提高部门形象。</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二、主动公开政府信息情况</w:t>
      </w:r>
    </w:p>
    <w:p>
      <w:pPr>
        <w:rPr>
          <w:rFonts w:hint="eastAsia"/>
        </w:rPr>
      </w:pPr>
    </w:p>
    <w:tbl>
      <w:tblPr>
        <w:tblStyle w:val="3"/>
        <w:tblW w:w="8140" w:type="dxa"/>
        <w:jc w:val="center"/>
        <w:shd w:val="clear" w:color="auto" w:fill="auto"/>
        <w:tblLayout w:type="fixed"/>
        <w:tblCellMar>
          <w:top w:w="0" w:type="dxa"/>
          <w:left w:w="0" w:type="dxa"/>
          <w:bottom w:w="0" w:type="dxa"/>
          <w:right w:w="0" w:type="dxa"/>
        </w:tblCellMar>
      </w:tblPr>
      <w:tblGrid>
        <w:gridCol w:w="3113"/>
        <w:gridCol w:w="1875"/>
        <w:gridCol w:w="6"/>
        <w:gridCol w:w="1265"/>
        <w:gridCol w:w="1881"/>
      </w:tblGrid>
      <w:tr>
        <w:tblPrEx>
          <w:shd w:val="clear" w:color="auto" w:fill="auto"/>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制作数量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公开数量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对外公开总数量</w:t>
            </w:r>
          </w:p>
        </w:tc>
      </w:tr>
      <w:tr>
        <w:tblPrEx>
          <w:tblCellMar>
            <w:top w:w="0" w:type="dxa"/>
            <w:left w:w="0" w:type="dxa"/>
            <w:bottom w:w="0" w:type="dxa"/>
            <w:right w:w="0" w:type="dxa"/>
          </w:tblCellMar>
        </w:tblPrEx>
        <w:trPr>
          <w:trHeight w:val="447"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327"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600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12</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12</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0</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i w:val="0"/>
          <w:caps w:val="0"/>
          <w:color w:val="333333"/>
          <w:spacing w:val="0"/>
          <w:sz w:val="24"/>
          <w:szCs w:val="24"/>
        </w:rPr>
      </w:pPr>
    </w:p>
    <w:p>
      <w:pPr>
        <w:numPr>
          <w:ilvl w:val="0"/>
          <w:numId w:val="1"/>
        </w:numPr>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numPr>
          <w:ilvl w:val="0"/>
          <w:numId w:val="0"/>
        </w:numPr>
        <w:rPr>
          <w:rFonts w:hint="eastAsia" w:ascii="黑体" w:hAnsi="黑体" w:eastAsia="黑体" w:cs="黑体"/>
          <w:sz w:val="24"/>
          <w:szCs w:val="24"/>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16"/>
        <w:gridCol w:w="854"/>
        <w:gridCol w:w="2092"/>
        <w:gridCol w:w="815"/>
        <w:gridCol w:w="756"/>
        <w:gridCol w:w="756"/>
        <w:gridCol w:w="815"/>
        <w:gridCol w:w="975"/>
        <w:gridCol w:w="712"/>
        <w:gridCol w:w="6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62"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09"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自然人</w:t>
            </w:r>
          </w:p>
        </w:tc>
        <w:tc>
          <w:tcPr>
            <w:tcW w:w="4014"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法人或其他组织</w:t>
            </w:r>
          </w:p>
        </w:tc>
        <w:tc>
          <w:tcPr>
            <w:tcW w:w="680"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商业企业</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科研机构</w:t>
            </w:r>
          </w:p>
        </w:tc>
        <w:tc>
          <w:tcPr>
            <w:tcW w:w="81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社会公益组织</w:t>
            </w:r>
          </w:p>
        </w:tc>
        <w:tc>
          <w:tcPr>
            <w:tcW w:w="9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法律服务机构</w:t>
            </w:r>
          </w:p>
        </w:tc>
        <w:tc>
          <w:tcPr>
            <w:tcW w:w="71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w:t>
            </w:r>
          </w:p>
        </w:tc>
        <w:tc>
          <w:tcPr>
            <w:tcW w:w="680"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62"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三、本年度办理结果</w:t>
            </w:r>
          </w:p>
        </w:tc>
        <w:tc>
          <w:tcPr>
            <w:tcW w:w="294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ascii="楷体" w:hAnsi="楷体" w:eastAsia="楷体" w:cs="楷体"/>
                <w:kern w:val="0"/>
                <w:sz w:val="20"/>
                <w:szCs w:val="20"/>
                <w:lang w:val="en-US" w:eastAsia="zh-CN" w:bidi="ar"/>
              </w:rPr>
              <w:t>（一）予以公开</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4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（二）部分公开（区分处理的，只计这一情形，不计其他情形）</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（三）不予公开</w:t>
            </w:r>
          </w:p>
        </w:tc>
        <w:tc>
          <w:tcPr>
            <w:tcW w:w="2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1.属于国家秘密</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2.其他法律行政法规禁止公开</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3.危及“三安全一稳定”</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4.保护第三方合法权益</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5.属于三类内部事务信息</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6.属于四类过程性信息</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7.属于行政执法案卷</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8.属于行政查询事项</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（四）无法提供</w:t>
            </w:r>
          </w:p>
        </w:tc>
        <w:tc>
          <w:tcPr>
            <w:tcW w:w="2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1.本机关不掌握相关政府信息</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2.没有现成信息需要另行制作</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3.补正后申请内容仍不明确</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74"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（五）不予处理</w:t>
            </w:r>
          </w:p>
        </w:tc>
        <w:tc>
          <w:tcPr>
            <w:tcW w:w="2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1.信访举报投诉类申请</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2.重复申请</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3.要求提供公开出版物</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4.无正当理由大量反复申请</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5.要求行政机关确认或重新出具已获取信息</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4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（六）其他处理</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4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（七）总计</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bookmarkStart w:id="0" w:name="_GoBack" w:colFirst="3" w:colLast="9"/>
            <w:r>
              <w:rPr>
                <w:rFonts w:hint="eastAsia" w:ascii="宋体" w:hAnsi="宋体" w:eastAsia="宋体" w:cs="宋体"/>
                <w:kern w:val="0"/>
                <w:sz w:val="20"/>
                <w:szCs w:val="20"/>
                <w:lang w:val="en-US" w:eastAsia="zh-CN" w:bidi="ar"/>
              </w:rPr>
              <w:t>四、结转下年度继续办理</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bookmarkEnd w:id="0"/>
    </w:tbl>
    <w:p>
      <w:pPr>
        <w:rPr>
          <w:rFonts w:hint="eastAsia" w:ascii="黑体" w:hAnsi="黑体" w:eastAsia="黑体" w:cs="黑体"/>
          <w:sz w:val="24"/>
          <w:szCs w:val="24"/>
        </w:rPr>
      </w:pPr>
    </w:p>
    <w:p>
      <w:pPr>
        <w:numPr>
          <w:ilvl w:val="0"/>
          <w:numId w:val="2"/>
        </w:numPr>
        <w:rPr>
          <w:rFonts w:hint="eastAsia" w:ascii="黑体" w:hAnsi="黑体" w:eastAsia="黑体" w:cs="黑体"/>
          <w:sz w:val="32"/>
          <w:szCs w:val="32"/>
        </w:rPr>
      </w:pPr>
      <w:r>
        <w:rPr>
          <w:rFonts w:hint="eastAsia" w:ascii="黑体" w:hAnsi="黑体" w:eastAsia="黑体" w:cs="黑体"/>
          <w:sz w:val="32"/>
          <w:szCs w:val="32"/>
        </w:rPr>
        <w:t>政府信息公开行政复议、行政诉讼情况</w:t>
      </w:r>
    </w:p>
    <w:p>
      <w:pPr>
        <w:numPr>
          <w:ilvl w:val="0"/>
          <w:numId w:val="0"/>
        </w:numPr>
        <w:rPr>
          <w:rFonts w:hint="eastAsia" w:ascii="黑体" w:hAnsi="黑体" w:eastAsia="黑体" w:cs="黑体"/>
          <w:sz w:val="24"/>
          <w:szCs w:val="24"/>
        </w:rPr>
      </w:pPr>
    </w:p>
    <w:tbl>
      <w:tblPr>
        <w:tblStyle w:val="3"/>
        <w:tblW w:w="916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10"/>
        <w:gridCol w:w="610"/>
        <w:gridCol w:w="610"/>
        <w:gridCol w:w="610"/>
        <w:gridCol w:w="664"/>
        <w:gridCol w:w="555"/>
        <w:gridCol w:w="611"/>
        <w:gridCol w:w="611"/>
        <w:gridCol w:w="611"/>
        <w:gridCol w:w="611"/>
        <w:gridCol w:w="611"/>
        <w:gridCol w:w="611"/>
        <w:gridCol w:w="611"/>
        <w:gridCol w:w="612"/>
        <w:gridCol w:w="61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1" w:hRule="atLeast"/>
          <w:jc w:val="center"/>
        </w:trPr>
        <w:tc>
          <w:tcPr>
            <w:tcW w:w="310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行政复议</w:t>
            </w:r>
          </w:p>
        </w:tc>
        <w:tc>
          <w:tcPr>
            <w:tcW w:w="6056"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1" w:hRule="atLeast"/>
          <w:jc w:val="center"/>
        </w:trPr>
        <w:tc>
          <w:tcPr>
            <w:tcW w:w="61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1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10"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10"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6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c>
          <w:tcPr>
            <w:tcW w:w="2999"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未经复议直接起诉</w:t>
            </w:r>
          </w:p>
        </w:tc>
        <w:tc>
          <w:tcPr>
            <w:tcW w:w="305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01" w:hRule="atLeast"/>
          <w:jc w:val="center"/>
        </w:trPr>
        <w:tc>
          <w:tcPr>
            <w:tcW w:w="61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0"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0"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6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1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1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1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c>
          <w:tcPr>
            <w:tcW w:w="61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1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1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其他结果</w:t>
            </w:r>
          </w:p>
        </w:tc>
        <w:tc>
          <w:tcPr>
            <w:tcW w:w="61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1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5" w:hRule="atLeast"/>
          <w:jc w:val="center"/>
        </w:trPr>
        <w:tc>
          <w:tcPr>
            <w:tcW w:w="61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lang w:val="en-US"/>
              </w:rPr>
            </w:pPr>
            <w:r>
              <w:rPr>
                <w:rFonts w:hint="eastAsia" w:ascii="仿宋" w:hAnsi="仿宋" w:eastAsia="仿宋" w:cs="仿宋"/>
                <w:sz w:val="24"/>
                <w:szCs w:val="24"/>
                <w:lang w:val="en-US" w:eastAsia="zh-CN"/>
              </w:rPr>
              <w:t> 0</w:t>
            </w:r>
          </w:p>
        </w:tc>
        <w:tc>
          <w:tcPr>
            <w:tcW w:w="610"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0 </w:t>
            </w:r>
          </w:p>
        </w:tc>
        <w:tc>
          <w:tcPr>
            <w:tcW w:w="610"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0 </w:t>
            </w:r>
          </w:p>
        </w:tc>
        <w:tc>
          <w:tcPr>
            <w:tcW w:w="610"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0 </w:t>
            </w:r>
          </w:p>
        </w:tc>
        <w:tc>
          <w:tcPr>
            <w:tcW w:w="664"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lang w:val="en-US"/>
              </w:rPr>
            </w:pPr>
            <w:r>
              <w:rPr>
                <w:rFonts w:hint="eastAsia" w:ascii="仿宋" w:hAnsi="仿宋" w:eastAsia="仿宋" w:cs="仿宋"/>
                <w:sz w:val="24"/>
                <w:szCs w:val="24"/>
                <w:lang w:val="en-US" w:eastAsia="zh-CN"/>
              </w:rPr>
              <w:t> 0</w:t>
            </w:r>
          </w:p>
        </w:tc>
        <w:tc>
          <w:tcPr>
            <w:tcW w:w="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lang w:val="en-US"/>
              </w:rPr>
            </w:pPr>
            <w:r>
              <w:rPr>
                <w:rFonts w:hint="eastAsia" w:ascii="仿宋" w:hAnsi="仿宋" w:eastAsia="仿宋" w:cs="仿宋"/>
                <w:sz w:val="24"/>
                <w:szCs w:val="24"/>
                <w:lang w:val="en-US" w:eastAsia="zh-CN"/>
              </w:rPr>
              <w:t> 0</w:t>
            </w:r>
          </w:p>
        </w:tc>
        <w:tc>
          <w:tcPr>
            <w:tcW w:w="611"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0 </w:t>
            </w:r>
          </w:p>
        </w:tc>
        <w:tc>
          <w:tcPr>
            <w:tcW w:w="611"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0 </w:t>
            </w:r>
          </w:p>
        </w:tc>
        <w:tc>
          <w:tcPr>
            <w:tcW w:w="611"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lang w:val="en-US"/>
              </w:rPr>
            </w:pPr>
            <w:r>
              <w:rPr>
                <w:rFonts w:hint="eastAsia" w:ascii="仿宋" w:hAnsi="仿宋" w:eastAsia="仿宋" w:cs="仿宋"/>
                <w:sz w:val="24"/>
                <w:szCs w:val="24"/>
                <w:lang w:val="en-US" w:eastAsia="zh-CN"/>
              </w:rPr>
              <w:t> 0</w:t>
            </w:r>
          </w:p>
        </w:tc>
        <w:tc>
          <w:tcPr>
            <w:tcW w:w="611"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lang w:val="en-US"/>
              </w:rPr>
            </w:pPr>
            <w:r>
              <w:rPr>
                <w:rFonts w:hint="eastAsia" w:ascii="仿宋" w:hAnsi="仿宋" w:eastAsia="仿宋" w:cs="仿宋"/>
                <w:sz w:val="24"/>
                <w:szCs w:val="24"/>
                <w:lang w:val="en-US" w:eastAsia="zh-CN"/>
              </w:rPr>
              <w:t> 0</w:t>
            </w:r>
          </w:p>
        </w:tc>
        <w:tc>
          <w:tcPr>
            <w:tcW w:w="611"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lang w:val="en-US"/>
              </w:rPr>
            </w:pPr>
            <w:r>
              <w:rPr>
                <w:rFonts w:hint="eastAsia" w:ascii="仿宋" w:hAnsi="仿宋" w:eastAsia="仿宋" w:cs="仿宋"/>
                <w:sz w:val="24"/>
                <w:szCs w:val="24"/>
                <w:lang w:val="en-US" w:eastAsia="zh-CN"/>
              </w:rPr>
              <w:t> 0</w:t>
            </w:r>
          </w:p>
        </w:tc>
        <w:tc>
          <w:tcPr>
            <w:tcW w:w="611"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lang w:val="en-US"/>
              </w:rPr>
            </w:pPr>
            <w:r>
              <w:rPr>
                <w:rFonts w:hint="eastAsia" w:ascii="仿宋" w:hAnsi="仿宋" w:eastAsia="仿宋" w:cs="仿宋"/>
                <w:sz w:val="24"/>
                <w:szCs w:val="24"/>
                <w:lang w:val="en-US" w:eastAsia="zh-CN"/>
              </w:rPr>
              <w:t> 0</w:t>
            </w:r>
          </w:p>
        </w:tc>
        <w:tc>
          <w:tcPr>
            <w:tcW w:w="611"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lang w:val="en-US"/>
              </w:rPr>
            </w:pPr>
            <w:r>
              <w:rPr>
                <w:rFonts w:hint="eastAsia" w:ascii="仿宋" w:hAnsi="仿宋" w:eastAsia="仿宋" w:cs="仿宋"/>
                <w:sz w:val="24"/>
                <w:szCs w:val="24"/>
                <w:lang w:val="en-US" w:eastAsia="zh-CN"/>
              </w:rPr>
              <w:t> 0</w:t>
            </w:r>
          </w:p>
        </w:tc>
        <w:tc>
          <w:tcPr>
            <w:tcW w:w="612"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0 </w:t>
            </w:r>
          </w:p>
        </w:tc>
        <w:tc>
          <w:tcPr>
            <w:tcW w:w="612"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pPr>
        <w:rPr>
          <w:rFonts w:hint="eastAsia"/>
          <w:lang w:eastAsia="zh-CN"/>
        </w:rPr>
      </w:pPr>
    </w:p>
    <w:p>
      <w:pPr>
        <w:pStyle w:val="2"/>
        <w:widowControl/>
        <w:spacing w:beforeAutospacing="0" w:afterAutospacing="0" w:line="560" w:lineRule="exact"/>
        <w:ind w:firstLine="640" w:firstLineChars="200"/>
        <w:rPr>
          <w:rFonts w:ascii="仿宋" w:hAnsi="仿宋" w:eastAsia="仿宋" w:cs="仿宋"/>
          <w:sz w:val="32"/>
          <w:szCs w:val="32"/>
        </w:rPr>
      </w:pPr>
      <w:r>
        <w:rPr>
          <w:rFonts w:hint="eastAsia" w:ascii="黑体" w:hAnsi="黑体" w:eastAsia="黑体" w:cs="黑体"/>
          <w:sz w:val="32"/>
          <w:szCs w:val="32"/>
          <w:shd w:val="clear" w:color="auto" w:fill="FFFFFF"/>
          <w:lang w:eastAsia="zh-CN"/>
        </w:rPr>
        <w:t>五</w:t>
      </w:r>
      <w:r>
        <w:rPr>
          <w:rFonts w:hint="eastAsia" w:ascii="黑体" w:hAnsi="黑体" w:eastAsia="黑体" w:cs="黑体"/>
          <w:sz w:val="32"/>
          <w:szCs w:val="32"/>
          <w:shd w:val="clear" w:color="auto" w:fill="FFFFFF"/>
        </w:rPr>
        <w:t>、</w:t>
      </w:r>
      <w:r>
        <w:rPr>
          <w:rFonts w:hint="eastAsia" w:ascii="黑体" w:hAnsi="黑体" w:eastAsia="黑体" w:cs="黑体"/>
          <w:sz w:val="32"/>
          <w:szCs w:val="32"/>
        </w:rPr>
        <w:t>存在</w:t>
      </w:r>
      <w:r>
        <w:rPr>
          <w:rFonts w:hint="eastAsia" w:ascii="黑体" w:hAnsi="黑体" w:eastAsia="黑体" w:cs="黑体"/>
          <w:sz w:val="32"/>
          <w:szCs w:val="32"/>
          <w:lang w:eastAsia="zh-CN"/>
        </w:rPr>
        <w:t>的</w:t>
      </w:r>
      <w:r>
        <w:rPr>
          <w:rFonts w:hint="eastAsia" w:ascii="黑体" w:hAnsi="黑体" w:eastAsia="黑体" w:cs="黑体"/>
          <w:sz w:val="32"/>
          <w:szCs w:val="32"/>
        </w:rPr>
        <w:t>问题及</w:t>
      </w:r>
      <w:r>
        <w:rPr>
          <w:rFonts w:hint="eastAsia" w:ascii="黑体" w:hAnsi="黑体" w:eastAsia="黑体" w:cs="黑体"/>
          <w:sz w:val="32"/>
          <w:szCs w:val="32"/>
          <w:lang w:eastAsia="zh-CN"/>
        </w:rPr>
        <w:t>改进情况</w:t>
      </w:r>
      <w:r>
        <w:rPr>
          <w:rFonts w:hint="eastAsia" w:ascii="黑体" w:hAnsi="黑体" w:eastAsia="黑体" w:cs="黑体"/>
          <w:sz w:val="32"/>
          <w:szCs w:val="32"/>
          <w:shd w:val="clear" w:color="auto" w:fill="FFFFFF"/>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年，我局将深入推进政府信息公开工作：一是加强与县政府办的沟通与联系，取得帮助与指导，提高局机关政府信息公开工作水平。更好地促进</w:t>
      </w:r>
      <w:r>
        <w:rPr>
          <w:rFonts w:hint="eastAsia" w:ascii="仿宋" w:hAnsi="仿宋" w:eastAsia="仿宋" w:cs="仿宋"/>
          <w:sz w:val="32"/>
          <w:szCs w:val="32"/>
          <w:lang w:eastAsia="zh-CN"/>
        </w:rPr>
        <w:t>单位</w:t>
      </w:r>
      <w:r>
        <w:rPr>
          <w:rFonts w:hint="eastAsia" w:ascii="仿宋" w:hAnsi="仿宋" w:eastAsia="仿宋" w:cs="仿宋"/>
          <w:sz w:val="32"/>
          <w:szCs w:val="32"/>
        </w:rPr>
        <w:t>的信息公开工作。加强制度落实，深化信息公开内容。二是按照《条例》、《规定》和上级有关要求，积极改进工作中存在的问题与不足，并把工作落到实处。进一步做好</w:t>
      </w:r>
      <w:r>
        <w:rPr>
          <w:rFonts w:hint="eastAsia" w:ascii="仿宋" w:hAnsi="仿宋" w:eastAsia="仿宋" w:cs="仿宋"/>
          <w:sz w:val="32"/>
          <w:szCs w:val="32"/>
          <w:lang w:eastAsia="zh-CN"/>
        </w:rPr>
        <w:t>市场监管法律</w:t>
      </w:r>
      <w:r>
        <w:rPr>
          <w:rFonts w:hint="eastAsia" w:ascii="仿宋" w:hAnsi="仿宋" w:eastAsia="仿宋" w:cs="仿宋"/>
          <w:sz w:val="32"/>
          <w:szCs w:val="32"/>
        </w:rPr>
        <w:t>政策解读的信息服务，完善重要事项征求意见的工作，规范工作流程、提高工作质量。不断丰富非公文类信息的公开内容。三是加强与群众的互动交流，加大政府信息公开力度，及时网上公开、更新，更好地发挥政府信息公开工作的作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firstLine="420"/>
        <w:jc w:val="both"/>
        <w:textAlignment w:val="auto"/>
        <w:rPr>
          <w:rFonts w:hint="eastAsia" w:ascii="黑体" w:hAnsi="黑体" w:eastAsia="黑体" w:cs="黑体"/>
          <w:b w:val="0"/>
          <w:bCs/>
          <w:sz w:val="32"/>
          <w:szCs w:val="32"/>
        </w:rPr>
      </w:pPr>
      <w:r>
        <w:rPr>
          <w:rStyle w:val="5"/>
          <w:rFonts w:hint="eastAsia" w:ascii="黑体" w:hAnsi="黑体" w:eastAsia="黑体" w:cs="黑体"/>
          <w:b w:val="0"/>
          <w:bCs/>
          <w:sz w:val="32"/>
          <w:szCs w:val="32"/>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firstLine="420"/>
        <w:jc w:val="both"/>
        <w:textAlignment w:val="auto"/>
        <w:rPr>
          <w:rFonts w:hint="eastAsia" w:ascii="仿宋" w:hAnsi="仿宋" w:eastAsia="仿宋" w:cs="仿宋"/>
          <w:sz w:val="32"/>
          <w:szCs w:val="32"/>
        </w:rPr>
      </w:pPr>
      <w:r>
        <w:rPr>
          <w:rFonts w:hint="eastAsia" w:ascii="仿宋" w:hAnsi="仿宋" w:eastAsia="仿宋" w:cs="仿宋"/>
          <w:sz w:val="32"/>
          <w:szCs w:val="32"/>
        </w:rPr>
        <w:t>无其他需要报告的事项。</w:t>
      </w:r>
    </w:p>
    <w:p>
      <w:pPr>
        <w:pStyle w:val="2"/>
        <w:keepNext w:val="0"/>
        <w:keepLines w:val="0"/>
        <w:widowControl/>
        <w:suppressLineNumbers w:val="0"/>
        <w:spacing w:line="420" w:lineRule="atLeast"/>
        <w:ind w:left="0" w:firstLine="0"/>
        <w:jc w:val="left"/>
      </w:pPr>
      <w:r>
        <w:t> </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p>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永和县市场监督管理局</w:t>
      </w:r>
    </w:p>
    <w:p>
      <w:pPr>
        <w:keepNext w:val="0"/>
        <w:keepLines w:val="0"/>
        <w:pageBreakBefore w:val="0"/>
        <w:widowControl w:val="0"/>
        <w:kinsoku/>
        <w:wordWrap w:val="0"/>
        <w:overflowPunct/>
        <w:topLinePunct w:val="0"/>
        <w:autoSpaceDE/>
        <w:autoSpaceDN/>
        <w:bidi w:val="0"/>
        <w:adjustRightInd/>
        <w:snapToGrid/>
        <w:spacing w:line="70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2020年2月15日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17327F"/>
    <w:multiLevelType w:val="singleLevel"/>
    <w:tmpl w:val="8617327F"/>
    <w:lvl w:ilvl="0" w:tentative="0">
      <w:start w:val="4"/>
      <w:numFmt w:val="chineseCounting"/>
      <w:suff w:val="nothing"/>
      <w:lvlText w:val="%1、"/>
      <w:lvlJc w:val="left"/>
      <w:rPr>
        <w:rFonts w:hint="eastAsia"/>
      </w:rPr>
    </w:lvl>
  </w:abstractNum>
  <w:abstractNum w:abstractNumId="1">
    <w:nsid w:val="B31D5D62"/>
    <w:multiLevelType w:val="singleLevel"/>
    <w:tmpl w:val="B31D5D6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A3DF8"/>
    <w:rsid w:val="1C7F1082"/>
    <w:rsid w:val="4B355965"/>
    <w:rsid w:val="689B1DBD"/>
    <w:rsid w:val="772112BE"/>
    <w:rsid w:val="77C53250"/>
    <w:rsid w:val="781D6588"/>
    <w:rsid w:val="78BE3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六耳</cp:lastModifiedBy>
  <cp:lastPrinted>2020-02-18T09:14:37Z</cp:lastPrinted>
  <dcterms:modified xsi:type="dcterms:W3CDTF">2020-02-18T09:14:42Z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