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pPr>
      <w:r>
        <w:rPr>
          <w:rStyle w:val="6"/>
          <w:rFonts w:hint="eastAsia" w:ascii="宋体" w:hAnsi="宋体" w:eastAsia="宋体" w:cs="宋体"/>
          <w:b/>
          <w:sz w:val="27"/>
          <w:szCs w:val="27"/>
        </w:rPr>
        <w:t>一、编制说明</w:t>
      </w:r>
    </w:p>
    <w:p>
      <w:pPr>
        <w:pStyle w:val="4"/>
        <w:keepNext w:val="0"/>
        <w:keepLines w:val="0"/>
        <w:widowControl/>
        <w:suppressLineNumbers w:val="0"/>
        <w:autoSpaceDE w:val="0"/>
        <w:autoSpaceDN/>
        <w:spacing w:before="75" w:beforeAutospacing="0" w:after="75" w:afterAutospacing="0" w:line="360" w:lineRule="auto"/>
        <w:ind w:left="0" w:right="0" w:firstLine="480"/>
        <w:jc w:val="left"/>
      </w:pPr>
      <w:r>
        <w:rPr>
          <w:rFonts w:ascii="仿宋_GB2312" w:hAnsi="Calibri" w:eastAsia="仿宋_GB2312" w:cs="仿宋_GB2312"/>
          <w:sz w:val="24"/>
          <w:szCs w:val="24"/>
        </w:rPr>
        <w:t>（一）根据法律、行政法规、中共中央办公厅、国务院办公厅印发的《国税地税征管体制改革方案》和“三定”规定，国家税务总局</w:t>
      </w:r>
      <w:r>
        <w:rPr>
          <w:rFonts w:hint="default" w:ascii="仿宋_GB2312" w:hAnsi="Calibri" w:eastAsia="仿宋_GB2312" w:cs="仿宋_GB2312"/>
          <w:sz w:val="24"/>
          <w:szCs w:val="24"/>
        </w:rPr>
        <w:t>永和县税务局第二税务分局主要负责县级重点税源集中管理、风险应对和县直机关事业单位社会保险费征收管理</w:t>
      </w:r>
      <w:bookmarkStart w:id="0" w:name="_GoBack"/>
      <w:bookmarkEnd w:id="0"/>
      <w:r>
        <w:rPr>
          <w:rFonts w:hint="default" w:ascii="仿宋_GB2312" w:hAnsi="Calibri" w:eastAsia="仿宋_GB2312" w:cs="仿宋_GB2312"/>
          <w:sz w:val="24"/>
          <w:szCs w:val="24"/>
        </w:rPr>
        <w:t>等工作。详见权责事项表。</w:t>
      </w:r>
    </w:p>
    <w:p>
      <w:pPr>
        <w:pStyle w:val="4"/>
        <w:keepNext w:val="0"/>
        <w:keepLines w:val="0"/>
        <w:widowControl/>
        <w:suppressLineNumbers w:val="0"/>
        <w:autoSpaceDE w:val="0"/>
        <w:autoSpaceDN/>
        <w:spacing w:before="75" w:beforeAutospacing="0" w:after="75" w:afterAutospacing="0" w:line="360" w:lineRule="auto"/>
        <w:ind w:left="0" w:right="0" w:firstLine="480"/>
        <w:jc w:val="left"/>
      </w:pPr>
      <w:r>
        <w:rPr>
          <w:rFonts w:hint="default" w:ascii="仿宋_GB2312" w:hAnsi="Calibri" w:eastAsia="仿宋_GB2312" w:cs="仿宋_GB2312"/>
          <w:sz w:val="24"/>
          <w:szCs w:val="24"/>
        </w:rPr>
        <w:t>（二）未列入权责事项表的，国家税务总局永和县税务局第二税务分局根据法律、法规、规章、“三定”规定和党中央、国务院有关部署，全面正确履行相关职责。</w:t>
      </w:r>
    </w:p>
    <w:p>
      <w:pPr>
        <w:pStyle w:val="4"/>
        <w:keepNext w:val="0"/>
        <w:keepLines w:val="0"/>
        <w:widowControl/>
        <w:suppressLineNumbers w:val="0"/>
        <w:autoSpaceDE w:val="0"/>
        <w:autoSpaceDN/>
        <w:spacing w:before="75" w:beforeAutospacing="0" w:after="75" w:afterAutospacing="0" w:line="360" w:lineRule="auto"/>
        <w:ind w:left="0" w:right="0" w:firstLine="480"/>
        <w:jc w:val="left"/>
      </w:pPr>
      <w:r>
        <w:rPr>
          <w:rFonts w:hint="default" w:ascii="仿宋_GB2312" w:hAnsi="Calibri" w:eastAsia="仿宋_GB2312" w:cs="仿宋_GB2312"/>
          <w:sz w:val="24"/>
          <w:szCs w:val="24"/>
        </w:rPr>
        <w:t>（三）未按权责事项表正确履职并产生追责情形的，由相关部门按照党的纪律和国家法律法规进行处理。</w:t>
      </w:r>
    </w:p>
    <w:p>
      <w:pPr>
        <w:pStyle w:val="4"/>
        <w:keepNext w:val="0"/>
        <w:keepLines w:val="0"/>
        <w:widowControl/>
        <w:suppressLineNumbers w:val="0"/>
        <w:autoSpaceDE w:val="0"/>
        <w:autoSpaceDN/>
        <w:spacing w:before="75" w:beforeAutospacing="0" w:after="75" w:afterAutospacing="0" w:line="360" w:lineRule="auto"/>
        <w:ind w:left="0" w:right="0" w:firstLine="480"/>
        <w:jc w:val="left"/>
      </w:pPr>
      <w:r>
        <w:rPr>
          <w:rFonts w:hint="default" w:ascii="仿宋_GB2312" w:hAnsi="Calibri" w:eastAsia="仿宋_GB2312" w:cs="仿宋_GB2312"/>
          <w:sz w:val="24"/>
          <w:szCs w:val="24"/>
        </w:rPr>
        <w:t>（四）国家税务总局永和县税务局第二税务分局坚持以方便行政相对人为导向，落实透明、高效、便民的原则，编制并公布行政权力运行流程图和服务指南或工作规范，切实减少工作环节，规范自由裁量权，提高行政权力运行的科学化、规范化水平。</w:t>
      </w:r>
    </w:p>
    <w:p>
      <w:pPr>
        <w:pStyle w:val="4"/>
        <w:keepNext w:val="0"/>
        <w:keepLines w:val="0"/>
        <w:widowControl/>
        <w:suppressLineNumbers w:val="0"/>
        <w:autoSpaceDE w:val="0"/>
        <w:autoSpaceDN/>
        <w:spacing w:before="75" w:beforeAutospacing="0" w:after="75" w:afterAutospacing="0" w:line="360" w:lineRule="auto"/>
        <w:ind w:left="0" w:right="0" w:firstLine="480"/>
        <w:jc w:val="left"/>
      </w:pPr>
      <w:r>
        <w:rPr>
          <w:rFonts w:hint="default" w:ascii="仿宋_GB2312" w:hAnsi="Calibri" w:eastAsia="仿宋_GB2312" w:cs="仿宋_GB2312"/>
          <w:sz w:val="24"/>
          <w:szCs w:val="24"/>
        </w:rPr>
        <w:t>（五）根据立法变化、机构和职能调整等情况，由国家税务总局永和县税务局第二税务分局按规定程序相应调整更新权责清单。</w:t>
      </w:r>
    </w:p>
    <w:p>
      <w:pPr>
        <w:pStyle w:val="4"/>
        <w:keepNext w:val="0"/>
        <w:keepLines w:val="0"/>
        <w:widowControl/>
        <w:suppressLineNumbers w:val="0"/>
        <w:autoSpaceDE w:val="0"/>
        <w:autoSpaceDN/>
        <w:spacing w:before="75" w:beforeAutospacing="0" w:after="75" w:afterAutospacing="0" w:line="360" w:lineRule="auto"/>
        <w:ind w:left="0" w:right="0" w:firstLine="480"/>
        <w:jc w:val="left"/>
      </w:pPr>
      <w:r>
        <w:rPr>
          <w:rFonts w:hint="default" w:ascii="Calibri" w:hAnsi="Calibri" w:eastAsia="仿宋_GB2312" w:cs="Calibri"/>
          <w:sz w:val="24"/>
          <w:szCs w:val="24"/>
        </w:rPr>
        <w:t>附注：公布《国家税务总局永和县税务局第二税务分局权力和责任清单》，旨在听取社会意见，接受社会监督（监督电话：12366）</w:t>
      </w:r>
    </w:p>
    <w:p>
      <w:pPr>
        <w:pStyle w:val="4"/>
        <w:keepNext w:val="0"/>
        <w:keepLines w:val="0"/>
        <w:widowControl/>
        <w:suppressLineNumbers w:val="0"/>
        <w:spacing w:before="75" w:beforeAutospacing="0" w:after="75" w:afterAutospacing="0" w:line="360" w:lineRule="auto"/>
        <w:ind w:left="0" w:right="0" w:firstLine="645"/>
        <w:jc w:val="left"/>
      </w:pPr>
      <w:r>
        <w:rPr>
          <w:rFonts w:hint="default" w:ascii="Calibri" w:hAnsi="Calibri" w:eastAsia="仿宋_GB2312" w:cs="Calibri"/>
          <w:sz w:val="24"/>
          <w:szCs w:val="24"/>
        </w:rPr>
        <w:t> </w:t>
      </w:r>
    </w:p>
    <w:p>
      <w:pPr>
        <w:pStyle w:val="4"/>
        <w:keepNext w:val="0"/>
        <w:keepLines w:val="0"/>
        <w:widowControl/>
        <w:suppressLineNumbers w:val="0"/>
        <w:jc w:val="center"/>
      </w:pPr>
      <w:r>
        <w:rPr>
          <w:rStyle w:val="6"/>
          <w:rFonts w:hint="eastAsia" w:ascii="宋体" w:hAnsi="宋体" w:eastAsia="宋体" w:cs="宋体"/>
          <w:b/>
          <w:sz w:val="27"/>
          <w:szCs w:val="27"/>
        </w:rPr>
        <w:t>二、权责事项表</w:t>
      </w:r>
    </w:p>
    <w:p>
      <w:pPr>
        <w:pStyle w:val="4"/>
        <w:keepNext w:val="0"/>
        <w:keepLines w:val="0"/>
        <w:widowControl/>
        <w:suppressLineNumbers w:val="0"/>
        <w:jc w:val="center"/>
        <w:rPr>
          <w:rFonts w:hint="eastAsia" w:ascii="黑体" w:hAnsi="黑体" w:eastAsia="黑体" w:cs="宋体"/>
          <w:sz w:val="36"/>
          <w:szCs w:val="32"/>
          <w:lang w:eastAsia="zh-CN"/>
        </w:rPr>
      </w:pPr>
      <w:r>
        <w:rPr>
          <w:rFonts w:ascii="楷体_GB2312" w:hAnsi="Times New Roman" w:eastAsia="楷体_GB2312" w:cs="楷体_GB2312"/>
          <w:b/>
          <w:sz w:val="24"/>
          <w:szCs w:val="24"/>
        </w:rPr>
        <w:t>（一）行政征收</w:t>
      </w:r>
    </w:p>
    <w:p>
      <w:pPr>
        <w:jc w:val="both"/>
        <w:rPr>
          <w:rFonts w:hint="eastAsia" w:ascii="黑体" w:hAnsi="黑体" w:eastAsia="黑体" w:cs="宋体"/>
          <w:sz w:val="36"/>
          <w:szCs w:val="32"/>
          <w:lang w:eastAsia="zh-CN"/>
        </w:rPr>
      </w:pPr>
    </w:p>
    <w:tbl>
      <w:tblPr>
        <w:tblStyle w:val="7"/>
        <w:tblW w:w="207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2"/>
        <w:gridCol w:w="1129"/>
        <w:gridCol w:w="1114"/>
        <w:gridCol w:w="2137"/>
        <w:gridCol w:w="11313"/>
        <w:gridCol w:w="41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blHeader/>
        </w:trPr>
        <w:tc>
          <w:tcPr>
            <w:tcW w:w="892" w:type="dxa"/>
            <w:shd w:val="clear" w:color="auto" w:fill="auto"/>
            <w:tcMar>
              <w:top w:w="10" w:type="dxa"/>
              <w:left w:w="10" w:type="dxa"/>
              <w:right w:w="10" w:type="dxa"/>
            </w:tcMar>
            <w:vAlign w:val="center"/>
          </w:tcPr>
          <w:p>
            <w:pPr>
              <w:widowControl/>
              <w:jc w:val="both"/>
              <w:textAlignment w:val="center"/>
              <w:rPr>
                <w:rFonts w:ascii="宋体" w:hAnsi="宋体" w:eastAsia="宋体" w:cs="宋体"/>
                <w:b/>
                <w:color w:val="000000"/>
                <w:sz w:val="24"/>
              </w:rPr>
            </w:pPr>
            <w:r>
              <w:rPr>
                <w:rFonts w:hint="eastAsia" w:ascii="宋体" w:hAnsi="宋体" w:eastAsia="宋体" w:cs="宋体"/>
                <w:b/>
                <w:color w:val="000000"/>
                <w:kern w:val="0"/>
                <w:sz w:val="24"/>
              </w:rPr>
              <w:t>序号</w:t>
            </w:r>
          </w:p>
        </w:tc>
        <w:tc>
          <w:tcPr>
            <w:tcW w:w="1129" w:type="dxa"/>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职权名称</w:t>
            </w:r>
          </w:p>
        </w:tc>
        <w:tc>
          <w:tcPr>
            <w:tcW w:w="1114" w:type="dxa"/>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子项</w:t>
            </w:r>
          </w:p>
        </w:tc>
        <w:tc>
          <w:tcPr>
            <w:tcW w:w="2137" w:type="dxa"/>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设定依据</w:t>
            </w:r>
          </w:p>
        </w:tc>
        <w:tc>
          <w:tcPr>
            <w:tcW w:w="11313" w:type="dxa"/>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履责方式</w:t>
            </w:r>
          </w:p>
        </w:tc>
        <w:tc>
          <w:tcPr>
            <w:tcW w:w="4177" w:type="dxa"/>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追责情形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00" w:hRule="atLeast"/>
        </w:trPr>
        <w:tc>
          <w:tcPr>
            <w:tcW w:w="89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1.1</w:t>
            </w:r>
          </w:p>
        </w:tc>
        <w:tc>
          <w:tcPr>
            <w:tcW w:w="1129"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增值税征收管理</w:t>
            </w:r>
          </w:p>
        </w:tc>
        <w:tc>
          <w:tcPr>
            <w:tcW w:w="111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1.1.1增值税征收</w:t>
            </w:r>
          </w:p>
        </w:tc>
        <w:tc>
          <w:tcPr>
            <w:tcW w:w="213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1.《中华人民共和国税收征收管理法》第五条第一款。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2.《中华人民共和国增值税暂行条例》第二十条第一款。</w:t>
            </w:r>
          </w:p>
        </w:tc>
        <w:tc>
          <w:tcPr>
            <w:tcW w:w="11313"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1.税务机关应当通过官方网站、办税服务场所等渠道公开征收主体、权限、依据、程序、报送资料、救济渠道、服务指南、流程图等；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2.主管税务机关根据纳税人应纳税额的大小核定纳税人的具体纳税期限、扣缴义务人解缴税款的期限；</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3.纳税人、扣缴义务人直接到税务机关或采取邮寄、数据电文等其他方式办理申报、报送事项的，税务机关应当依法办理，接收相关资料；</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4.税务机关征收税款应当开具完税凭证；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5.税务机关应当按照国家规定的税款入库预算级次，将征收的税款缴入国库。</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以“信用＋风险”动态管理为基础，完善分级分类管理，推进“互联网＋监管”，着力构建和完善信用评价、监控预警、风险应对全流程管理体系，实施“双随机、一公开”税务稽查，加强公正监管，促进共管共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依法应当追征税款的，税务机关应当依法采取责令限期缴纳、责成提供纳税担保、实施税收保全措施或者强制执行措施等方式追征，依法加收滞纳金。纳税人、扣缴义务人、纳税担保人存在税收违法行为的，税务机关依法给予行政处罚；</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三、部门间职责衔接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1.增值税由税务机关征收，进口货物的增值税由海关代征；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于稽核比对结果为不符、缺联的海关缴款书，纳税人应当持海关缴款书原件向主管税务机关申请数据修改或核对。属于纳税人数据采集错误的，数据修改后再次进行稽核比对；不属于数据采集错误的，纳税人可向主管税务机关申请数据核对，主管税务机关会同海关进行核查。经核查，海关缴款书票面信息与纳税人实际进口货物业务一致的，纳税人登录本省（区、市）增值税发票综合服务平台，查询、选择用于申报抵扣或出口退税的海关缴款书信息；</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自2018年6月1日起，对申报进口监管方式为1500（租赁不满一年）、1523（租赁贸易）、9800（租赁征税）的租赁飞机（税则品目：8802），海关停止代征进口环节增值税。进口租赁飞机增值税的征收管理，由税务机关按照现行增值税政策组织实施。</w:t>
            </w:r>
          </w:p>
          <w:p>
            <w:pPr>
              <w:widowControl/>
              <w:jc w:val="left"/>
              <w:textAlignment w:val="center"/>
              <w:rPr>
                <w:rFonts w:ascii="宋体" w:hAnsi="宋体" w:eastAsia="宋体" w:cs="宋体"/>
                <w:color w:val="000000"/>
                <w:sz w:val="24"/>
              </w:rPr>
            </w:pPr>
          </w:p>
        </w:tc>
        <w:tc>
          <w:tcPr>
            <w:tcW w:w="417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1.违反规定擅自改变税收征收管理范围和税款入库预算级次的；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2.违反规定提前征收、延缓征收或者摊派税款的；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3.违反法律、行政法规的规定擅自作出税收的开征、停征或者减税、免税、退税、补税以及其他同税收法律、行政法规相抵触的决定的；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5.利用职务上的便利，收受或者索取纳税人、扣缴义务人财物或者谋取其他不正当利益的；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7.未按照规定为纳税人、扣缴义务人、检举人保密的；</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8.法律、行政法规等规定的其他不履行或者不正确履行行政职责的情形。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0" w:hRule="atLeast"/>
        </w:trPr>
        <w:tc>
          <w:tcPr>
            <w:tcW w:w="892" w:type="dxa"/>
            <w:vMerge w:val="restart"/>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1.1</w:t>
            </w:r>
          </w:p>
        </w:tc>
        <w:tc>
          <w:tcPr>
            <w:tcW w:w="1129" w:type="dxa"/>
            <w:vMerge w:val="restart"/>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增值税征收管理</w:t>
            </w:r>
          </w:p>
        </w:tc>
        <w:tc>
          <w:tcPr>
            <w:tcW w:w="111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1.1.2增值税减免</w:t>
            </w:r>
          </w:p>
        </w:tc>
        <w:tc>
          <w:tcPr>
            <w:tcW w:w="2137" w:type="dxa"/>
            <w:shd w:val="clear" w:color="auto" w:fill="auto"/>
            <w:tcMar>
              <w:top w:w="10" w:type="dxa"/>
              <w:left w:w="10" w:type="dxa"/>
              <w:right w:w="10" w:type="dxa"/>
            </w:tcMar>
            <w:vAlign w:val="center"/>
          </w:tcPr>
          <w:p>
            <w:pPr>
              <w:widowControl/>
              <w:jc w:val="left"/>
              <w:textAlignment w:val="center"/>
              <w:rPr>
                <w:rFonts w:ascii="宋体" w:hAnsi="宋体" w:eastAsia="宋体" w:cs="宋体"/>
                <w:strike/>
                <w:color w:val="000000"/>
                <w:kern w:val="0"/>
                <w:sz w:val="24"/>
              </w:rPr>
            </w:pPr>
            <w:r>
              <w:rPr>
                <w:rFonts w:hint="eastAsia" w:ascii="宋体" w:hAnsi="宋体" w:eastAsia="宋体" w:cs="宋体"/>
                <w:color w:val="000000"/>
                <w:kern w:val="0"/>
                <w:sz w:val="24"/>
              </w:rPr>
              <w:t>1.《中华人民共和国税收征收管理法》第三条、第五条、第三十三条。</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2.《中华人民共和国增值税暂行条例》第二十条第一款。</w:t>
            </w:r>
          </w:p>
        </w:tc>
        <w:tc>
          <w:tcPr>
            <w:tcW w:w="11313"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1.税务机关应当通过官方网站、办税服务场所等渠道公开减免事项、依据、程序、报送资料、救济渠道、服务指南、流程图等；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2.纳税人申报享受税收减免，无需报送附列资料的，税务机关应当依法办理，接收相关资料；</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3.纳税人申报享受税收减免，需要报送附列资料的，如资料齐全、符合法定形式，应当予以受理；需要纳税人补正有关材料、手续的，应当一次性告知需要补正的内容；</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4.纳税人办理税收减免备案的，税务机关应当接收纳税人提交的备案资料。资料齐全、符合法定形式的，当场备案；需要纳税人补正有关材料、手续的，应当一次性告知需要补正的内容。</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应当以“信用＋风险”动态管理为基础，完善分级分类管理，推进“互联网＋监管”，着力构建和完善信用评价、监控预警、风险应对全流程管理体系，实施“双随机、一公开”税务稽查，加强公正监管，促进共管共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三、部门间职责衔接</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税务机关根据具体税收减免事项的监管要求，加强与相关部门的信息共享和协同共治。</w:t>
            </w:r>
          </w:p>
        </w:tc>
        <w:tc>
          <w:tcPr>
            <w:tcW w:w="417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1.违反法律、行政法规的规定，擅自作出减税、免税决定的；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2.违反法定程序为纳税人办理减税、免税手续的；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4.利用职务上的便利，收受或者索取纳税人、扣缴义务人财物或者谋取其他不正当利益的；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6.未按照规定为纳税人、扣缴义务人、检举人保密的；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0" w:hRule="atLeast"/>
        </w:trPr>
        <w:tc>
          <w:tcPr>
            <w:tcW w:w="892" w:type="dxa"/>
            <w:vMerge w:val="continue"/>
            <w:shd w:val="clear" w:color="auto" w:fill="auto"/>
            <w:tcMar>
              <w:top w:w="10" w:type="dxa"/>
              <w:left w:w="10" w:type="dxa"/>
              <w:right w:w="10" w:type="dxa"/>
            </w:tcMar>
            <w:vAlign w:val="center"/>
          </w:tcPr>
          <w:p>
            <w:pPr>
              <w:jc w:val="center"/>
              <w:rPr>
                <w:rFonts w:ascii="宋体" w:hAnsi="宋体" w:eastAsia="宋体" w:cs="宋体"/>
                <w:color w:val="000000"/>
                <w:sz w:val="24"/>
              </w:rPr>
            </w:pPr>
          </w:p>
        </w:tc>
        <w:tc>
          <w:tcPr>
            <w:tcW w:w="1129" w:type="dxa"/>
            <w:vMerge w:val="continue"/>
            <w:shd w:val="clear" w:color="auto" w:fill="auto"/>
            <w:tcMar>
              <w:top w:w="10" w:type="dxa"/>
              <w:left w:w="10" w:type="dxa"/>
              <w:right w:w="10" w:type="dxa"/>
            </w:tcMar>
            <w:vAlign w:val="center"/>
          </w:tcPr>
          <w:p>
            <w:pPr>
              <w:jc w:val="left"/>
              <w:rPr>
                <w:rFonts w:ascii="宋体" w:hAnsi="宋体" w:eastAsia="宋体" w:cs="宋体"/>
                <w:color w:val="000000"/>
                <w:sz w:val="24"/>
              </w:rPr>
            </w:pPr>
          </w:p>
        </w:tc>
        <w:tc>
          <w:tcPr>
            <w:tcW w:w="111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1.1.3农产品增值税进项税额核定扣除试点纳税人的扣除标准核定</w:t>
            </w:r>
          </w:p>
        </w:tc>
        <w:tc>
          <w:tcPr>
            <w:tcW w:w="213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1.《中华人民共和国增值税暂行条例》第八条第二款第三项。</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2.《财政部 国家税务总局关于在部分行业试行农产品增值税进项税额核定扣除办法的通知》（财税〔2012〕38号）附件1第十二条第三项。</w:t>
            </w:r>
          </w:p>
        </w:tc>
        <w:tc>
          <w:tcPr>
            <w:tcW w:w="11313"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1.税务机关应当通过官方网站、办税服务场所等渠道公开核定主体、权限、依据、程序、报送资料、救济渠道、服务指南、流程图等；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2.试点纳税人以农产品为原料生产货物的扣除标准核定程序：</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(1)主管税务机关接收以农产品为原料生产货物的试点纳税人按规定时间提交的扣除标准核定申请及有关资料；</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(2)主管税务机关对试点纳税人的申请资料进行审核，并逐级上报给省级税务机关；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(3)省级税务机关组成扣除标准核定小组进行核定，并下达核定结果；</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(4)主管税务机关通过网站、报刊等多种方式及时向社会公告核定结果，未经公告的扣除标准无效；</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(5)省级税务机关尚未下达核定结果前，试点纳税人可按上年确定的核定扣除标准计算申报农产品进项税额。</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3.试点纳税人购进农产品直接销售、购进农产品用于生产经营且不构成货物实体扣除标准的核定采取备案制，备案资料的范围和要求由省级税务机关确定；</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试点纳税人对税务机关按规定核定的扣除标准有疑义或者生产经营情况发生变化，向主管税务机关提出重新核定扣除标准申请并提供说明其生产、经营真实情况的证据，主管税务机关应当自接到申请之日起30日内书面答复。</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税务机关应加强对试点纳税人农产品增值税进项税额计算扣除情况的监管，防范和打击虚开发票行为，定期进行纳税评估，及时发现申报纳税中存在的问题。</w:t>
            </w:r>
          </w:p>
          <w:p>
            <w:pPr>
              <w:widowControl/>
              <w:jc w:val="left"/>
              <w:textAlignment w:val="center"/>
              <w:rPr>
                <w:rFonts w:ascii="宋体" w:hAnsi="宋体" w:eastAsia="宋体" w:cs="宋体"/>
                <w:color w:val="000000"/>
                <w:sz w:val="24"/>
              </w:rPr>
            </w:pPr>
          </w:p>
        </w:tc>
        <w:tc>
          <w:tcPr>
            <w:tcW w:w="417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2.利用职务上的便利，收受或者索取纳税人、扣缴义务人财物或者谋取其他不正当利益的；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4.未按照规定为纳税人、扣缴义务人、检举人保密的；</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5.法律、行政法规等规定的其他不履行或者不正确履行行政职责的情形。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84" w:hRule="atLeast"/>
        </w:trPr>
        <w:tc>
          <w:tcPr>
            <w:tcW w:w="892" w:type="dxa"/>
            <w:vMerge w:val="restart"/>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1.1</w:t>
            </w:r>
          </w:p>
        </w:tc>
        <w:tc>
          <w:tcPr>
            <w:tcW w:w="1129" w:type="dxa"/>
            <w:vMerge w:val="restart"/>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增值税征收管理</w:t>
            </w:r>
          </w:p>
        </w:tc>
        <w:tc>
          <w:tcPr>
            <w:tcW w:w="111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1.1.4对逾期增值税扣税凭证继续抵扣的核准</w:t>
            </w:r>
          </w:p>
        </w:tc>
        <w:tc>
          <w:tcPr>
            <w:tcW w:w="213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1.《中华人民共和国增值税暂行条例》第九条。</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2.《国家税务总局关于逾期增值税扣税凭证抵扣问题的公告》（国家税务总局公告2011年第50号发布，国家税务总局公告2017年第36号、2018年第31号修改）。</w:t>
            </w:r>
          </w:p>
        </w:tc>
        <w:tc>
          <w:tcPr>
            <w:tcW w:w="11313"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1.税务机关应当通过官方网站、办税服务场所等渠道公开逾期增值税扣税凭证继续抵扣的核准</w:t>
            </w:r>
            <w:r>
              <w:rPr>
                <w:rFonts w:hint="eastAsia" w:ascii="宋体" w:hAnsi="宋体" w:cs="宋体"/>
                <w:color w:val="000000"/>
                <w:kern w:val="0"/>
                <w:sz w:val="24"/>
              </w:rPr>
              <w:t>主体、权限、依据、程序、报送资料、救济渠道、服务指南、流程图</w:t>
            </w:r>
            <w:r>
              <w:rPr>
                <w:rFonts w:hint="eastAsia" w:ascii="宋体" w:hAnsi="宋体" w:eastAsia="宋体" w:cs="宋体"/>
                <w:color w:val="000000"/>
                <w:kern w:val="0"/>
                <w:sz w:val="24"/>
              </w:rPr>
              <w:t>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2.税务机关应当接收纳税人提交的相关资料。资料齐全、符合法定形式的，应当予以受理；需要纳税人补正有关材料、手续的，应当一次性告知需要补正的内容；</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主管税务机关应认真核实纳税人所报资料，重点核查纳税人所报送资料是否齐全、交易是否真实发生、造成增值税扣税凭证逾期的原因是否属于客观原因、第三方证明或说明所述时间是否具有逻辑性、资料信息是否一致、增值税扣税凭证复印件与原件是否一致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4.主管税务机关核实无误后，应向上级税务机关上报，并将增值税扣税凭证逾期情况说明、第三方证明或说明、逾期增值税扣税凭证电子信息、逾期增值税扣税凭证复印件逐级上报至省税务局；</w:t>
            </w:r>
          </w:p>
          <w:p>
            <w:pPr>
              <w:widowControl/>
              <w:jc w:val="left"/>
              <w:textAlignment w:val="center"/>
              <w:rPr>
                <w:rFonts w:ascii="宋体" w:hAnsi="宋体" w:cs="宋体"/>
                <w:color w:val="000000"/>
                <w:kern w:val="0"/>
                <w:sz w:val="24"/>
              </w:rPr>
            </w:pPr>
            <w:r>
              <w:rPr>
                <w:rFonts w:hint="eastAsia" w:ascii="宋体" w:hAnsi="宋体" w:eastAsia="宋体" w:cs="宋体"/>
                <w:color w:val="000000"/>
                <w:kern w:val="0"/>
                <w:sz w:val="24"/>
              </w:rPr>
              <w:t>5.省税务局对上报的资料进行案头复核，并对逾期增值税扣税凭证信息进行认证、稽核比对，对资料符合条件、稽核比对结果相符的，允许纳税人继续抵扣逾期增值税扣税凭证上所注明或计算的税额</w:t>
            </w:r>
            <w:r>
              <w:rPr>
                <w:rFonts w:hint="eastAsia" w:ascii="宋体" w:hAnsi="宋体" w:cs="宋体"/>
                <w:color w:val="000000"/>
                <w:kern w:val="0"/>
                <w:sz w:val="24"/>
              </w:rPr>
              <w:t>；</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6.增值税一般纳税人取得2017年1月1日及以后开具的增值税专用发票、海关进口增值税专用缴款书、机动车销售统一发票、收费公路通行费增值税电子普通发票，取消认证确认、稽核比对的期限。增值税一般纳税人取得2016年12月31日及以前开具的增值税专用发票、海关进口增值税专用缴款书、机动车销售统一发票，超过认证确认、稽核比对期限，但符合规定条件的，仍可按照《国家税务总局关于逾期增值税扣税凭证抵扣问题的公告》规定，继续抵扣进项税额。</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主管税务机关可定期或者不定期对已抵扣逾期增值税扣税凭证进项税额的纳税人进行复查，发现纳税人提供虚假信息，存在弄虚作假行为的，应责令纳税人将已抵扣进项税额转出，并按《中华人民共和国税收征收管理法》的有关规定进行处罚。</w:t>
            </w:r>
          </w:p>
        </w:tc>
        <w:tc>
          <w:tcPr>
            <w:tcW w:w="417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2.利用职务上的便利，收受或者索取纳税人、扣缴义务人财物或者谋取其他不正当利益的；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4.未按照规定为纳税人、扣缴义务人、检举人保密的；</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5.法律、行政法规等规定的其他不履行或者不正确履行行政职责的情形。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99" w:hRule="atLeast"/>
        </w:trPr>
        <w:tc>
          <w:tcPr>
            <w:tcW w:w="892" w:type="dxa"/>
            <w:vMerge w:val="continue"/>
            <w:shd w:val="clear" w:color="auto" w:fill="auto"/>
            <w:tcMar>
              <w:top w:w="10" w:type="dxa"/>
              <w:left w:w="10" w:type="dxa"/>
              <w:right w:w="10" w:type="dxa"/>
            </w:tcMar>
            <w:vAlign w:val="center"/>
          </w:tcPr>
          <w:p>
            <w:pPr>
              <w:jc w:val="center"/>
              <w:rPr>
                <w:rFonts w:ascii="宋体" w:hAnsi="宋体" w:eastAsia="宋体" w:cs="宋体"/>
                <w:color w:val="000000"/>
                <w:sz w:val="24"/>
              </w:rPr>
            </w:pPr>
          </w:p>
        </w:tc>
        <w:tc>
          <w:tcPr>
            <w:tcW w:w="1129" w:type="dxa"/>
            <w:vMerge w:val="continue"/>
            <w:shd w:val="clear" w:color="auto" w:fill="auto"/>
            <w:tcMar>
              <w:top w:w="10" w:type="dxa"/>
              <w:left w:w="10" w:type="dxa"/>
              <w:right w:w="10" w:type="dxa"/>
            </w:tcMar>
            <w:vAlign w:val="center"/>
          </w:tcPr>
          <w:p>
            <w:pPr>
              <w:jc w:val="left"/>
              <w:rPr>
                <w:rFonts w:ascii="宋体" w:hAnsi="宋体" w:eastAsia="宋体" w:cs="宋体"/>
                <w:color w:val="000000"/>
                <w:sz w:val="24"/>
              </w:rPr>
            </w:pPr>
          </w:p>
        </w:tc>
        <w:tc>
          <w:tcPr>
            <w:tcW w:w="111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1.1.5对未按期申报抵扣增值税扣税凭证申请继续抵扣的核准</w:t>
            </w:r>
          </w:p>
        </w:tc>
        <w:tc>
          <w:tcPr>
            <w:tcW w:w="213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1.《中华人民共和国增值税暂行条例》第九条。</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2.《国家税务总局关于未按期申报抵扣增值税扣税凭证有关问题的公告》（国家税务总局公告2011年第78号发布，国家税务总局公告2018年第31号修改）。</w:t>
            </w:r>
          </w:p>
        </w:tc>
        <w:tc>
          <w:tcPr>
            <w:tcW w:w="11313"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1.税务机关应当通过官方网站、办税服务场所等渠道公开未按期申报抵扣增值税扣税凭证申请继续抵扣的核准</w:t>
            </w:r>
            <w:r>
              <w:rPr>
                <w:rFonts w:hint="eastAsia" w:ascii="宋体" w:hAnsi="宋体" w:cs="宋体"/>
                <w:color w:val="000000"/>
                <w:kern w:val="0"/>
                <w:sz w:val="24"/>
              </w:rPr>
              <w:t>主体、权限、依据、程序、报送资料、救济渠道、服务指南、流程图</w:t>
            </w:r>
            <w:r>
              <w:rPr>
                <w:rFonts w:hint="eastAsia" w:ascii="宋体" w:hAnsi="宋体" w:eastAsia="宋体" w:cs="宋体"/>
                <w:color w:val="000000"/>
                <w:kern w:val="0"/>
                <w:sz w:val="24"/>
              </w:rPr>
              <w:t>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2.税务机关应当接收纳税人提交的相关资料。资料齐全、符合法定形式的，应当予以受理；需要纳税人补正有关材料、手续的，应当一次性告知需要补正的内容；</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主管税务机关受理纳税人申请后，应认真审核纳税人交易是否真实发生，所报资料是否齐全，增值税扣税凭证未按期申报抵扣的原因是否属于客观原因，纳税人说明、第三方证明或说明所述事项是否具有逻辑性等；</w:t>
            </w:r>
          </w:p>
          <w:p>
            <w:pPr>
              <w:widowControl/>
              <w:jc w:val="left"/>
              <w:textAlignment w:val="center"/>
              <w:rPr>
                <w:rFonts w:ascii="宋体" w:hAnsi="宋体" w:cs="宋体"/>
                <w:color w:val="000000"/>
                <w:kern w:val="0"/>
                <w:sz w:val="24"/>
              </w:rPr>
            </w:pPr>
            <w:r>
              <w:rPr>
                <w:rFonts w:hint="eastAsia" w:ascii="宋体" w:hAnsi="宋体" w:eastAsia="宋体" w:cs="宋体"/>
                <w:color w:val="000000"/>
                <w:kern w:val="0"/>
                <w:sz w:val="24"/>
              </w:rPr>
              <w:t>4.主管税务机关审核无误后，发送《未按期申报抵扣增值税扣税凭证允许继续抵扣通知单》，企业凭《通知单》进行申报抵扣</w:t>
            </w:r>
            <w:r>
              <w:rPr>
                <w:rFonts w:hint="eastAsia" w:ascii="宋体" w:hAnsi="宋体" w:cs="宋体"/>
                <w:color w:val="000000"/>
                <w:kern w:val="0"/>
                <w:sz w:val="24"/>
              </w:rPr>
              <w:t>；</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5.增值税一般纳税人取得2017年1月1日及以后开具的增值税专用发票、海关进口增值税专用缴款书、机动车销售统一发票、收费公路通行费增值税电子普通发票，取消申报抵扣的期限。增值税一般纳税人取得2016年12月31日及以前开具的增值税专用发票、海关进口增值税专用缴款书、机动车销售统一发票，超过申报抵扣期限，但符合规定条件的，仍可按照《国家税务总局关于未按期申报抵扣增值税扣税凭证有关问题的公告》规定，继续抵扣进项税额。</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主管税务机关可定期或者不定期对已办理未按期申报抵扣增值税扣税凭证抵扣手续的纳税人进行复查，发现纳税人提供虚假信息，存在弄虚作假行为的，应责令纳税人将已抵扣进项税额转出，并按《中华人民共和国税收征收管理法》的有关规定进行处罚。</w:t>
            </w:r>
          </w:p>
        </w:tc>
        <w:tc>
          <w:tcPr>
            <w:tcW w:w="417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2.利用职务上的便利，收受或者索取纳税人、扣缴义务人财物或者谋取其他不正当利益的；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4.未按照规定为纳税人、扣缴义务人、检举人保密的；</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5.法律、行政法规等规定的其他不履行或者不正确履行行政职责的情形。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69" w:hRule="atLeast"/>
        </w:trPr>
        <w:tc>
          <w:tcPr>
            <w:tcW w:w="892" w:type="dxa"/>
            <w:vMerge w:val="restart"/>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1.2</w:t>
            </w:r>
          </w:p>
        </w:tc>
        <w:tc>
          <w:tcPr>
            <w:tcW w:w="1129" w:type="dxa"/>
            <w:vMerge w:val="restart"/>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消费税征收管理</w:t>
            </w:r>
          </w:p>
        </w:tc>
        <w:tc>
          <w:tcPr>
            <w:tcW w:w="111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1.2.1消费税征收</w:t>
            </w:r>
          </w:p>
        </w:tc>
        <w:tc>
          <w:tcPr>
            <w:tcW w:w="213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1.《中华人民共和国税收征收管理法》第五条第一款。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2.《中华人民共和国消费税暂行条例》第十二条第一款。</w:t>
            </w:r>
          </w:p>
        </w:tc>
        <w:tc>
          <w:tcPr>
            <w:tcW w:w="11313"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1.税务机关应当通过官方网站、办税服务场所等渠道公开征收主体、权限、依据、程序、报送资料、救济渠道、服务指南、流程图等；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2.纳税人、扣缴义务人直接到税务机关或采取邮寄、数据电文等其他方式办理申报、报送事项的，税务机关应当依法办理，接收相关资料；</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3.税务机关征收税款应当开具完税凭证；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4.税务机关应当按照国家规定的税款入库预算级次，将征收的税款缴入国库。</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以“信用＋风险”动态管理为基础，完善分级分类管理，推进“互联网＋监管”，着力构建和完善信用评价、监控预警、风险应对全流程管理体系，实施“双随机、一公开”税务稽查，加强公正监管，促进共管共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依法应当追征税款的，税务机关应当依法采取责令限期缴纳、责成提供纳税担保、实施税收保全措施或者强制执行措施等方式追征，依法加收滞纳金。纳税人、扣缴义务人、纳税担保人存在税收违法行为的，税务机关依法给予行政处罚；</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三、部门间职责衔接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消费税由税务机关征收，进口的应税消费品的消费税由海关代征。</w:t>
            </w:r>
          </w:p>
        </w:tc>
        <w:tc>
          <w:tcPr>
            <w:tcW w:w="417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1.违反规定擅自改变税收征收管理范围和税款入库预算级次的；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2.违反规定提前征收、延缓征收或者摊派税款的；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3.违反法律、行政法规的规定擅自作出税收的开征、停征或者减税、免税、退税、补税以及其他同税收法律、行政法规相抵触的决定的；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5.利用职务上的便利，收受或者索取纳税人、扣缴义务人财物或者谋取其他不正当利益的；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7.未按照规定为纳税人、扣缴义务人、检举人保密的；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8.法律、行政法规等规定的其他不履行或者不正确履行行政职责的情形。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69" w:hRule="atLeast"/>
        </w:trPr>
        <w:tc>
          <w:tcPr>
            <w:tcW w:w="892" w:type="dxa"/>
            <w:vMerge w:val="continue"/>
            <w:shd w:val="clear" w:color="auto" w:fill="auto"/>
            <w:tcMar>
              <w:top w:w="10" w:type="dxa"/>
              <w:left w:w="10" w:type="dxa"/>
              <w:right w:w="10" w:type="dxa"/>
            </w:tcMar>
            <w:vAlign w:val="center"/>
          </w:tcPr>
          <w:p>
            <w:pPr>
              <w:jc w:val="center"/>
              <w:rPr>
                <w:rFonts w:ascii="宋体" w:hAnsi="宋体" w:eastAsia="宋体" w:cs="宋体"/>
                <w:color w:val="000000"/>
                <w:kern w:val="0"/>
                <w:sz w:val="24"/>
              </w:rPr>
            </w:pPr>
          </w:p>
        </w:tc>
        <w:tc>
          <w:tcPr>
            <w:tcW w:w="1129" w:type="dxa"/>
            <w:vMerge w:val="continue"/>
            <w:shd w:val="clear" w:color="auto" w:fill="auto"/>
            <w:tcMar>
              <w:top w:w="10" w:type="dxa"/>
              <w:left w:w="10" w:type="dxa"/>
              <w:right w:w="10" w:type="dxa"/>
            </w:tcMar>
            <w:vAlign w:val="center"/>
          </w:tcPr>
          <w:p>
            <w:pPr>
              <w:jc w:val="left"/>
              <w:rPr>
                <w:rFonts w:ascii="宋体" w:hAnsi="宋体" w:eastAsia="宋体" w:cs="宋体"/>
                <w:color w:val="000000"/>
                <w:kern w:val="0"/>
                <w:sz w:val="24"/>
              </w:rPr>
            </w:pPr>
          </w:p>
        </w:tc>
        <w:tc>
          <w:tcPr>
            <w:tcW w:w="111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1.2.2消费税减免</w:t>
            </w:r>
          </w:p>
        </w:tc>
        <w:tc>
          <w:tcPr>
            <w:tcW w:w="213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1.《中华人民共和国税收征收管理法》第三条、第五条、第三十三条。</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2.《中华人民共和国消费税暂行条例》第十二条第一款。</w:t>
            </w:r>
          </w:p>
        </w:tc>
        <w:tc>
          <w:tcPr>
            <w:tcW w:w="11313"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1.税务机关应当通过官方网站、办税服务场所等渠道公开减免事项、依据、程序、报送资料、救济渠道、服务指南、流程图等；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2.纳税人申报享受税收减免，无需报送附列资料的，税务机关应当依法办理，接收相关资料。</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应当以“信用＋风险”动态管理为基础，完善分级分类管理，推进“互联网＋监管”，着力构建和完善信用评价、监控预警、风险应对全流程管理体系，实施“双随机、一公开”税务稽查，加强公正监管，促进共管共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三、部门间职责衔接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税务机关根据具体税收减免事项的监管要求，加强与相关部门的信息共享和协同监管。</w:t>
            </w:r>
          </w:p>
        </w:tc>
        <w:tc>
          <w:tcPr>
            <w:tcW w:w="417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1.违反法律、行政法规的规定，擅自作出减税、免税决定的；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2.违反法定程序为纳税人办理减税、免税手续的；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4.利用职务上的便利，收受或者索取纳税人、扣缴义务人财物或者谋取其他不正当利益的；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6.未按照规定为纳税人、扣缴义务人、检举人保密的；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7.法律、行政法规等规定的其他不履行或者不正确履行行政职责的情形。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65" w:hRule="atLeast"/>
        </w:trPr>
        <w:tc>
          <w:tcPr>
            <w:tcW w:w="892" w:type="dxa"/>
            <w:vMerge w:val="restart"/>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1.3</w:t>
            </w:r>
          </w:p>
        </w:tc>
        <w:tc>
          <w:tcPr>
            <w:tcW w:w="1129" w:type="dxa"/>
            <w:vMerge w:val="restart"/>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车辆购置税征收管理</w:t>
            </w:r>
          </w:p>
        </w:tc>
        <w:tc>
          <w:tcPr>
            <w:tcW w:w="111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1.3.1车辆购置税征收</w:t>
            </w:r>
          </w:p>
        </w:tc>
        <w:tc>
          <w:tcPr>
            <w:tcW w:w="213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1.《中华人民共和国税收征收管理法》第五条第一款。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2.《中华人民共和国车辆购置税法》第十条。</w:t>
            </w:r>
          </w:p>
        </w:tc>
        <w:tc>
          <w:tcPr>
            <w:tcW w:w="11313"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1.税务机关应当通过官方网站、办税服务场所等渠道公开征收主体、权限、依据、程序、报送资料、救济渠道、服务指南、流程图等；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2.纳税人直接到税务机关或采取邮寄、数据电文等其他方式办理申报、报送事项的，税务机关应当依法办理，接收相关资料；</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3.纳税人需要纸质车辆购置税完税证明的，主管税务机关为其打印《车辆购置税完税证明（电子版）》，或纳税人通过电子税务局等官方互联网平台查询和打印；</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4.税务机关应当按照国家规定的税款入库预算级次，将征收的税款缴入国库。</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以“信用＋风险”动态管理为基础，完善分级分类管理，推进“互联网＋监管”，着力构建和完善信用评价、监控预警、风险应对全流程管理体系，实施“双随机、一公开”税务稽查，加强公正监管，促进共管共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依法应当追征税款的，税务机关应当依法采取责令限期缴纳、责成提供纳税担保、实施税收保全措施或者强制执行措施等方式追征，依法加收滞纳金。纳税人、纳税担保人存在税收违法行为的，税务机关依法给予行政处罚；</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三、部门间职责衔接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1.公安机关交通管理部门办理车辆注册登记，应当根据税务机关提供的应税车辆完税或者免税电子信息对纳税人申请登记的车辆信息进行核对，核对无误后依法办理车辆注册登记；</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2.税务机关和公安、商务、海关、工业和信息化等部门应当建立应税车辆信息共享和工作配合机制，及时交换应税车辆和纳税信息资料。</w:t>
            </w:r>
          </w:p>
        </w:tc>
        <w:tc>
          <w:tcPr>
            <w:tcW w:w="417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1.违反规定擅自改变税收征收管理范围和税款入库预算级次的；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2.违反规定提前征收、延缓征收或者摊派税款的；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3.违反法律、行政法规的规定擅自作出税收的开征、停征或者减税、免税、退税、补税以及其他同税收法律、行政法规相抵触的决定的；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5.利用职务上的便利，收受或者索取纳税人财物或者谋取其他不正当利益的；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6.滥用职权，故意刁难纳税人的；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7.未按照规定为纳税人、检举人保密的；</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8.法律、行政法规等规定的其他不履行或者不正确履行行政职责的情形。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06" w:hRule="atLeast"/>
        </w:trPr>
        <w:tc>
          <w:tcPr>
            <w:tcW w:w="892" w:type="dxa"/>
            <w:vMerge w:val="continue"/>
            <w:shd w:val="clear" w:color="auto" w:fill="auto"/>
            <w:tcMar>
              <w:top w:w="10" w:type="dxa"/>
              <w:left w:w="10" w:type="dxa"/>
              <w:right w:w="10" w:type="dxa"/>
            </w:tcMar>
            <w:vAlign w:val="center"/>
          </w:tcPr>
          <w:p>
            <w:pPr>
              <w:jc w:val="center"/>
              <w:rPr>
                <w:rFonts w:ascii="宋体" w:hAnsi="宋体" w:eastAsia="宋体" w:cs="宋体"/>
                <w:color w:val="000000"/>
                <w:sz w:val="24"/>
              </w:rPr>
            </w:pPr>
          </w:p>
        </w:tc>
        <w:tc>
          <w:tcPr>
            <w:tcW w:w="1129" w:type="dxa"/>
            <w:vMerge w:val="continue"/>
            <w:shd w:val="clear" w:color="auto" w:fill="auto"/>
            <w:tcMar>
              <w:top w:w="10" w:type="dxa"/>
              <w:left w:w="10" w:type="dxa"/>
              <w:right w:w="10" w:type="dxa"/>
            </w:tcMar>
            <w:vAlign w:val="center"/>
          </w:tcPr>
          <w:p>
            <w:pPr>
              <w:jc w:val="left"/>
              <w:rPr>
                <w:rFonts w:ascii="宋体" w:hAnsi="宋体" w:eastAsia="宋体" w:cs="宋体"/>
                <w:color w:val="000000"/>
                <w:sz w:val="24"/>
              </w:rPr>
            </w:pPr>
          </w:p>
        </w:tc>
        <w:tc>
          <w:tcPr>
            <w:tcW w:w="111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1.3.2车辆购置税减免</w:t>
            </w:r>
          </w:p>
        </w:tc>
        <w:tc>
          <w:tcPr>
            <w:tcW w:w="213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1.《中华人民共和国税收征收管理法》第三条、第五条、第三十三条。</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2.《中华人民共和国车辆购置税法》第十条。</w:t>
            </w:r>
          </w:p>
        </w:tc>
        <w:tc>
          <w:tcPr>
            <w:tcW w:w="11313"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1.税务机关应当通过官方网站、办税服务场所等渠道公开减免事项、依据、程序、报送资料、救济渠道、服务指南、流程图等；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2.纳税人申报享受税收减免，无需报送附列资料的，税务机关应当依法办理，接收相关资料；</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w:t>
            </w:r>
            <w:r>
              <w:rPr>
                <w:rFonts w:hint="eastAsia" w:ascii="宋体" w:hAnsi="宋体" w:cs="宋体"/>
                <w:color w:val="000000"/>
                <w:kern w:val="0"/>
                <w:sz w:val="24"/>
              </w:rPr>
              <w:t>纳税人申报享受税收减免，需要报送附列资料的，如资料齐全、符合法定形式，应当予以受理；需要纳税人补正有关材料、手续的，应当一次性告知需要补正的内容</w:t>
            </w:r>
            <w:r>
              <w:rPr>
                <w:rFonts w:hint="eastAsia" w:ascii="宋体" w:hAnsi="宋体" w:eastAsia="宋体" w:cs="宋体"/>
                <w:color w:val="000000"/>
                <w:kern w:val="0"/>
                <w:sz w:val="24"/>
              </w:rPr>
              <w:t>。</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应当以“信用＋风险”动态管理为基础，完善分级分类管理，推进“互联网＋监管”，着力构建和完善信用评价、监控预警、风险应对全流程管理体系，实施“双随机、一公开”税务稽查，加强公正监管，促进共管共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三、部门间职责衔接</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公安机关交通管理部门办理车辆注册登记，应当根据税务机关提供的应税车辆完税或者免税电子信息对纳税人申请登记的车辆信息进行核对，核对无误后依法办理车辆注册登记。</w:t>
            </w:r>
          </w:p>
        </w:tc>
        <w:tc>
          <w:tcPr>
            <w:tcW w:w="417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1.违反法律、行政法规的规定，擅自作出减税、免税决定的；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2.违反法定程序为纳税人办理减税、免税手续的；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4.利用职务上的便利，收受或者索取纳税人财物或者谋取其他不正当利益的；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5.滥用职权，故意刁难纳税人的；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6.未按照规定为纳税人、检举人保密的；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89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1.4</w:t>
            </w:r>
          </w:p>
        </w:tc>
        <w:tc>
          <w:tcPr>
            <w:tcW w:w="1129"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企业所得税征收管理</w:t>
            </w:r>
          </w:p>
        </w:tc>
        <w:tc>
          <w:tcPr>
            <w:tcW w:w="111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1.4.1企业所得税征收</w:t>
            </w:r>
          </w:p>
        </w:tc>
        <w:tc>
          <w:tcPr>
            <w:tcW w:w="213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《中华人民共和国税收征收管理法》第五条第一款。</w:t>
            </w:r>
          </w:p>
        </w:tc>
        <w:tc>
          <w:tcPr>
            <w:tcW w:w="11313"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1.税务机关应当通过官方网站、办税服务场所等渠道公开征收主体、权限、依据、程序、报送资料、救济渠道、服务指南、流程图等；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2.纳税人、扣缴义务人直接到税务机关或采取邮寄、数据电文等其他方式办理申报、报送事项的，税务机关应当依法办理，接收相关资料；</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3.税务机关征收税款应当开具完税凭证；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4.税务机关应当按照国家规定的税款入库预算级次，将征收的税款缴入国库；</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5.对非居民企业在中国境内取得工程作业和劳务所得应缴纳的所得税，税务机关可以指定工程价款或者劳务费的支付人为扣缴义务人。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以“信用＋风险”动态管理为基础，完善分级分类管理，推进“互联网＋监管”，着力构建和完善信用评价、监控预警、风险应对全流程管理体系，实施“双随机、一公开”税务稽查，加强公正监管，促进共管共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依法应当追征税款的，税务机关应当依法采取责令限期缴纳、责成提供纳税担保、实施税收保全措施或者强制执行措施等方式追征，依法加收滞纳金。纳税人、扣缴义务人、纳税担保人存在税收违法行为的，税务机关依法给予行政处罚；</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3.税务机关发现纳税人多缴税款的，应当自发现之日起10日内办理退还手续；纳税人发现多缴税款，要求退还的，税务机关应当自接到纳税人退还申请之日起30日内查实并办理退还手续；</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分支机构未按规定报送经总机构所在地主管税务机关受理的汇总纳税企业分支机构所得税分配表，分支机构所在地主管税务机关应责成该分支机构在申报期内报送，同时提请总机构所在地主管税务机关督促总机构按照规定提供相关分配表；分支机构在申报期内不提供的，由分支机构所在地主管税务机关对分支机构按照《中华人民共和国税收征收管理法》的有关规定予以处罚；属于总机构未向分支机构提供分配表的，分支机构所在地主管税务机关还应提请总机构所在地主管税务机关对总机构按照《中华人民共和国税收征收管理法》的有关规定予以处罚；</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以总机构名义进行生产经营的非法人分支机构，无法提供汇总纳税企业分支机构所得税分配表，也无法提供《跨地区经营汇总纳税企业所得税征收管理办法》第二十三条规定相关证据证明其二级及以下分支机构身份的，应视同独立纳税人计算并就地缴纳企业所得税，不执行《跨地区经营汇总纳税企业所得税征收管理办法》的相关规定。</w:t>
            </w:r>
          </w:p>
          <w:p>
            <w:pPr>
              <w:widowControl/>
              <w:jc w:val="left"/>
              <w:textAlignment w:val="center"/>
              <w:rPr>
                <w:rFonts w:ascii="宋体" w:hAnsi="宋体" w:eastAsia="宋体" w:cs="宋体"/>
                <w:color w:val="000000"/>
                <w:sz w:val="24"/>
              </w:rPr>
            </w:pPr>
          </w:p>
        </w:tc>
        <w:tc>
          <w:tcPr>
            <w:tcW w:w="417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1.违反规定擅自改变税收征收管理范围和税款入库预算级次的；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2.违反规定提前征收、延缓征收或者摊派税款的；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3.违反法律、行政法规的规定擅自作出税收的开征、停征或者减税、免税、退税、补税以及其他同税收法律、行政法规相抵触的决定的；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5.利用职务上的便利，收受或者索取纳税人、扣缴义务人财物或者谋取其他不正当利益的；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7.未按照规定为纳税人、扣缴义务人、检举人保密的；</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8.法律、行政法规等规定的其他不履行或者不正确履行行政职责的情形。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55" w:hRule="atLeast"/>
        </w:trPr>
        <w:tc>
          <w:tcPr>
            <w:tcW w:w="89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1.4</w:t>
            </w:r>
          </w:p>
        </w:tc>
        <w:tc>
          <w:tcPr>
            <w:tcW w:w="1129"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企业所得税征收管理</w:t>
            </w:r>
          </w:p>
        </w:tc>
        <w:tc>
          <w:tcPr>
            <w:tcW w:w="111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1.4.2企业所得税减免</w:t>
            </w:r>
          </w:p>
        </w:tc>
        <w:tc>
          <w:tcPr>
            <w:tcW w:w="213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《中华人民共和国税收征收管理法》第三条、第五条、第三十三条。</w:t>
            </w:r>
          </w:p>
        </w:tc>
        <w:tc>
          <w:tcPr>
            <w:tcW w:w="11313"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1.税务机关应当通过官方网站、办税服务场所等渠道公开减免事项、依据、程序、报送资料、救济渠道、服务指南、流程图等；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2.纳税人申报享受税收减免，无需报送附列资料的，税务机关应当依法办理，接收相关资料；</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纳税人按照财税〔2018〕102号文件规定办理税收减免备案的，税务机关应当接收纳税人提交的备案资料。资料齐全、符合法定形式的，当场备案；需要纳税人补正有关材料、手续的，应当一次性告知需要补正的内容。</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企业享受优惠事项后，税务机关将适时开展后续管理。企业未能按照税务机关要求提供留存备查资料，或者提供的留存备查资料与实际生产经营情况、财务核算情况、相关技术领域、产业、目录、资格证书等不符，无法证实符合优惠事项规定条件的，或者存在弄虚作假情况的，税务机关依法追缴其已享受的企业所得税优惠，并按照税收征管法等相关规定处理；</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应当以“信用＋风险”动态管理为基础，完善分级分类管理，推进“互联网＋监管”，着力构建和完善信用评价、监控预警、风险应对全流程管理体系，实施“双随机、一公开”税务稽查，加强公正监管，促进共管共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三、部门间职责衔接</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税务机关根据具体税收减免事项的监管要求，加强与相关部门的信息共享和协同监管。</w:t>
            </w:r>
          </w:p>
        </w:tc>
        <w:tc>
          <w:tcPr>
            <w:tcW w:w="417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1.违反法律、行政法规的规定，擅自作出减税、免税决定的；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2.违反法定程序为纳税人办理减税、免税手续的；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4.利用职务上的便利，收受或者索取纳税人、扣缴义务人财物或者谋取其他不正当利益的；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6.未按照规定为纳税人、扣缴义务人、检举人保密的；</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7.法律、行政法规等规定的其他不履行或者不正确履行行政职责的情形。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00" w:hRule="atLeast"/>
        </w:trPr>
        <w:tc>
          <w:tcPr>
            <w:tcW w:w="892" w:type="dxa"/>
            <w:vMerge w:val="restart"/>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1.5</w:t>
            </w:r>
          </w:p>
        </w:tc>
        <w:tc>
          <w:tcPr>
            <w:tcW w:w="1129" w:type="dxa"/>
            <w:vMerge w:val="restart"/>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个人所得税征收管理</w:t>
            </w:r>
          </w:p>
        </w:tc>
        <w:tc>
          <w:tcPr>
            <w:tcW w:w="111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1.5.1个人所得税征收</w:t>
            </w:r>
          </w:p>
        </w:tc>
        <w:tc>
          <w:tcPr>
            <w:tcW w:w="213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《中华人民共和国税收征收管理法》第五条第一款。</w:t>
            </w:r>
          </w:p>
        </w:tc>
        <w:tc>
          <w:tcPr>
            <w:tcW w:w="11313"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1.税务机关应当通过官方网站、办税服务场所等渠道公开征收主体、权限、依据、程序、报送资料、救济渠道、服务指南、流程图等；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2.纳税人、扣缴义务人直接到税务机关或采取邮寄、数据电文等其他方式办理申报、报送事项的，税务机关应当依法办理，接收相关资料；</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3.税务机关征收税款应当开具完税凭证或纳税记录；</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4.税务机关应当按照国家规定的税款入库预算级次，将征收的税款缴入国库。</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以“信用＋风险”动态管理为基础，完善分级分类管理，推进“互联网＋监管”，着力构建和完善信用评价、监控预警、风险应对全流程管理体系，实施“双随机、一公开”税务稽查，加强公正监管，促进共管共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依法应当追征税款的，税务机关应当依法采取责令限期缴纳、责成提供纳税担保、实施税收保全措施或者强制执行措施等方式追征，依法加收滞纳金。纳税人、扣缴义务人、纳税担保人存在税收违法行为的，税务机关依法给予行政处罚；</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三、部门间职责衔接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1.公安、人民银行、金融监督管理等相关部门应当协助税务机关确认纳税人的身份、金融账户信息；</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教育、卫生、医疗保障、民政、人力资源社会保障、住房城乡建设、公安、人民银行、金融监督管理等相关部门应当向税务机关提供纳税人子女教育、继续教育、大病医疗、住房贷款利息、住房租金、赡养老人等专项附加扣除信息。</w:t>
            </w:r>
          </w:p>
        </w:tc>
        <w:tc>
          <w:tcPr>
            <w:tcW w:w="417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1.违反规定擅自改变税收征收管理范围和税款入库预算级次的；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2.违反规定提前征收、延缓征收或者摊派税款的；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3.违反法律、行政法规的规定擅自作出税收的开征、停征或者减税、免税、退税、补税以及其他同税收法律、行政法规相抵触的决定的；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5.利用职务上的便利，收受或者索取纳税人、扣缴义务人财物或者谋取其他不正当利益的；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7.未按照规定为纳税人、扣缴义务人、检举人保密的；</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8.法律、行政法规等规定的其他不履行或者不正确履行行政职责的情形。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892" w:type="dxa"/>
            <w:vMerge w:val="continue"/>
            <w:shd w:val="clear" w:color="auto" w:fill="auto"/>
            <w:tcMar>
              <w:top w:w="10" w:type="dxa"/>
              <w:left w:w="10" w:type="dxa"/>
              <w:right w:w="10" w:type="dxa"/>
            </w:tcMar>
            <w:vAlign w:val="center"/>
          </w:tcPr>
          <w:p>
            <w:pPr>
              <w:jc w:val="center"/>
              <w:rPr>
                <w:rFonts w:ascii="宋体" w:hAnsi="宋体" w:eastAsia="宋体" w:cs="宋体"/>
                <w:color w:val="000000"/>
                <w:sz w:val="24"/>
              </w:rPr>
            </w:pPr>
          </w:p>
        </w:tc>
        <w:tc>
          <w:tcPr>
            <w:tcW w:w="1129" w:type="dxa"/>
            <w:vMerge w:val="continue"/>
            <w:shd w:val="clear" w:color="auto" w:fill="auto"/>
            <w:tcMar>
              <w:top w:w="10" w:type="dxa"/>
              <w:left w:w="10" w:type="dxa"/>
              <w:right w:w="10" w:type="dxa"/>
            </w:tcMar>
            <w:vAlign w:val="center"/>
          </w:tcPr>
          <w:p>
            <w:pPr>
              <w:jc w:val="left"/>
              <w:rPr>
                <w:rFonts w:ascii="宋体" w:hAnsi="宋体" w:eastAsia="宋体" w:cs="宋体"/>
                <w:color w:val="000000"/>
                <w:sz w:val="24"/>
              </w:rPr>
            </w:pPr>
          </w:p>
        </w:tc>
        <w:tc>
          <w:tcPr>
            <w:tcW w:w="111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1.5.2个人所得税减免</w:t>
            </w:r>
          </w:p>
        </w:tc>
        <w:tc>
          <w:tcPr>
            <w:tcW w:w="213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《中华人民共和国税收征收管理法》第三条、第五条、第三十三条。</w:t>
            </w:r>
          </w:p>
        </w:tc>
        <w:tc>
          <w:tcPr>
            <w:tcW w:w="11313"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1.税务机关应当通过官方网站、办税服务场所等渠道公开减免事项、依据、程序、报送资料、救济渠道、服务指南、流程图等；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2.纳税人申报享受税收减免，无需报送附列资料的，税务机关应当依法办理，接收相关资料；</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3.纳税人办理税收减免备案的，税务机关应当接收纳税人提交的备案资料，资料齐全、符合法定形式的，当场备案；需要纳税人补正有关材料、手续的，应当一次性告知需要补正的内容；</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4.纳税人办理税收减免核准的，税务机关应当接收纳税人提交的相关资料。资料齐全、填写内容完整、符合法定形式的，当场受理；需要纳税人补正有关材料、手续的，应当一次性告知需要补正的内容。</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应当以“信用＋风险”动态管理为基础，完善分级分类管理，推进“互联网＋监管”，着力构建和完善信用评价、监控预警、风险应对全流程管理体系，实施“双随机、一公开”税务稽查，加强公正监管，促进共管共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三、部门间职责衔接</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税务机关根据具体税收减免事项的监管要求，加强与相关部门的信息共享和协同共治。</w:t>
            </w:r>
          </w:p>
        </w:tc>
        <w:tc>
          <w:tcPr>
            <w:tcW w:w="417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1.违反法律、行政法规的规定，擅自作出减税、免税决定的；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2.违反法定程序为纳税人办理减税、免税手续的；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4.利用职务上的便利，收受或者索取纳税人、扣缴义务人财物或者谋取其他不正当利益的；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6.未按照规定为纳税人、扣缴义务人、检举人保密的；</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7.法律、行政法规等规定的其他不履行或者不正确履行行政职责的情形。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0" w:hRule="atLeast"/>
        </w:trPr>
        <w:tc>
          <w:tcPr>
            <w:tcW w:w="892" w:type="dxa"/>
            <w:vMerge w:val="restart"/>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1.6</w:t>
            </w:r>
          </w:p>
        </w:tc>
        <w:tc>
          <w:tcPr>
            <w:tcW w:w="1129" w:type="dxa"/>
            <w:vMerge w:val="restart"/>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土地增值税征收管理</w:t>
            </w:r>
          </w:p>
        </w:tc>
        <w:tc>
          <w:tcPr>
            <w:tcW w:w="111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1.6.1土地增值税征收</w:t>
            </w:r>
          </w:p>
        </w:tc>
        <w:tc>
          <w:tcPr>
            <w:tcW w:w="213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1.《中华人民共和国税收征收管理法》第五条第一款。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2.《中华人民共和国土地增值税暂行条例》第十一条。</w:t>
            </w:r>
          </w:p>
        </w:tc>
        <w:tc>
          <w:tcPr>
            <w:tcW w:w="11313"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1.税务机关应当通过官方网站、办税服务场所等渠道公开征收主体、权限、依据、程序、报送资料、救济渠道、服务指南、流程图等；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2.纳税人直接到税务机关或采取邮寄、数据电文等其他方式办理申报、报送事项的，税务机关应当依法办理，接收相关资料；</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3.税务机关征收税款应当开具完税凭证；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4.税务机关应当按照国家规定的税款入库预算级次，将征收的税款缴入国库。</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以“信用＋风险”动态管理为基础，完善分级分类管理，推进“互联网＋监管”，着力构建和完善信用评价、监控预警、风险应对全流程管理体系，实施“双随机、一公开”税务稽查，加强公正监管，促进共管共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依法应当追征税款的，税务机关应当依法采取责令限期缴纳、责成提供纳税担保、实施税收保全措施或者强制执行措施等方式追征，依法加收滞纳金。纳税人、纳税担保人存在税收违法行为的，税务机关依法给予行政处罚；</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三、部门间职责衔接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1.自然资源管理部门应当向税务机关提供有关资料，并协助税务机关依法征收土地增值税；</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2.纳税人未按照《中华人民共和国土地增值税暂行条例》缴纳土地增值税的，自然资源管理部门不得办理有关的权属变更手续。</w:t>
            </w:r>
          </w:p>
          <w:p>
            <w:pPr>
              <w:widowControl/>
              <w:jc w:val="left"/>
              <w:textAlignment w:val="center"/>
              <w:rPr>
                <w:rFonts w:ascii="宋体" w:hAnsi="宋体" w:eastAsia="宋体" w:cs="宋体"/>
                <w:color w:val="000000"/>
                <w:sz w:val="24"/>
              </w:rPr>
            </w:pPr>
          </w:p>
        </w:tc>
        <w:tc>
          <w:tcPr>
            <w:tcW w:w="417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1.违反规定擅自改变税收征收管理范围和税款入库预算级次的；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2.违反规定提前征收、延缓征收或者摊派税款的；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3.违反法律、行政法规的规定擅自作出税收的开征、停征或者减税、免税、退税、补税以及其他同税收法律、行政法规相抵触的决定的；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5.利用职务上的便利，收受或者索取纳税人财物或者谋取其他不正当利益的；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6.滥用职权，故意刁难纳税人的；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7.未按照规定为纳税人、检举人保密的；</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8.法律、行政法规等规定的其他不履行或者不正确履行行政职责的情形。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00" w:hRule="atLeast"/>
        </w:trPr>
        <w:tc>
          <w:tcPr>
            <w:tcW w:w="892" w:type="dxa"/>
            <w:vMerge w:val="continue"/>
            <w:shd w:val="clear" w:color="auto" w:fill="auto"/>
            <w:tcMar>
              <w:top w:w="10" w:type="dxa"/>
              <w:left w:w="10" w:type="dxa"/>
              <w:right w:w="10" w:type="dxa"/>
            </w:tcMar>
            <w:vAlign w:val="center"/>
          </w:tcPr>
          <w:p>
            <w:pPr>
              <w:jc w:val="center"/>
              <w:rPr>
                <w:rFonts w:ascii="宋体" w:hAnsi="宋体" w:eastAsia="宋体" w:cs="宋体"/>
                <w:color w:val="000000"/>
                <w:sz w:val="24"/>
              </w:rPr>
            </w:pPr>
          </w:p>
        </w:tc>
        <w:tc>
          <w:tcPr>
            <w:tcW w:w="1129" w:type="dxa"/>
            <w:vMerge w:val="continue"/>
            <w:shd w:val="clear" w:color="auto" w:fill="auto"/>
            <w:tcMar>
              <w:top w:w="10" w:type="dxa"/>
              <w:left w:w="10" w:type="dxa"/>
              <w:right w:w="10" w:type="dxa"/>
            </w:tcMar>
            <w:vAlign w:val="center"/>
          </w:tcPr>
          <w:p>
            <w:pPr>
              <w:jc w:val="left"/>
              <w:rPr>
                <w:rFonts w:ascii="宋体" w:hAnsi="宋体" w:eastAsia="宋体" w:cs="宋体"/>
                <w:color w:val="000000"/>
                <w:sz w:val="24"/>
              </w:rPr>
            </w:pPr>
          </w:p>
        </w:tc>
        <w:tc>
          <w:tcPr>
            <w:tcW w:w="111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1.6.2土地增值税减免</w:t>
            </w:r>
          </w:p>
        </w:tc>
        <w:tc>
          <w:tcPr>
            <w:tcW w:w="213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1.《中华人民共和国税收征收管理法》第三条、第五条、第三十三条。</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2.《中华人民共和国土地增值税暂行条例》第十一条。</w:t>
            </w:r>
          </w:p>
        </w:tc>
        <w:tc>
          <w:tcPr>
            <w:tcW w:w="11313"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1.税务机关应当通过官方网站、办税服务场所等渠道公开减免事项、依据、程序、报送资料、救济渠道、服务指南、流程图等；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2.纳税人申报享受税收减免，无需报送附列资料的，税务机关应当依法办理，接收相关资料；</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3.纳税人办理税收减免备案的，税务机关应当接收纳税人提交的备案资料。资料齐全、符合法定形式的，当场备案；需要纳税人补正有关材料、手续的，应当一次性告知需要补正的内容；</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4.纳税人办理税收减免需要核准的，税务机关应当接收纳税人提交的相关资料。资料齐全、符合法定形式的，应当受理申请；需要纳税人补正有关材料、手续的，应当一次性告知需要补正的内容。</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应当以“信用＋风险”动态管理为基础，完善分级分类管理，推进“互联网＋监管”，着力构建和完善信用评价、监控预警、风险应对全流程管理体系，实施“双随机、一公开”税务稽查，加强公正监管，促进共管共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三、部门间职责衔接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各级自然资源主管部门在办理土地、房屋权属登记时，应按照《中华人民共和国土地增值税暂行条例》的规定，在纳税人出具完税（或减免税）凭证后，再办理登记手续；对于未出具完税（或减免税）凭证的，不予办理相关的手续。</w:t>
            </w:r>
          </w:p>
          <w:p>
            <w:pPr>
              <w:widowControl/>
              <w:jc w:val="left"/>
              <w:textAlignment w:val="center"/>
              <w:rPr>
                <w:rFonts w:ascii="宋体" w:hAnsi="宋体" w:eastAsia="宋体" w:cs="宋体"/>
                <w:color w:val="000000"/>
                <w:sz w:val="24"/>
              </w:rPr>
            </w:pPr>
          </w:p>
        </w:tc>
        <w:tc>
          <w:tcPr>
            <w:tcW w:w="417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1.违反法律、行政法规的规定，擅自作出减税、免税决定的；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2.违反法定程序为纳税人办理减税、免税手续的；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3.利用职务上的便利，收受或者索取纳税人财物或者谋取其他不正当利益的；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5.滥用职权，故意刁难纳税人的；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6.未按照规定为纳税人、检举人保密的；</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7.法律、行政法规等规定的其他不履行或者不正确履行行政职责的情形。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13" w:hRule="atLeast"/>
        </w:trPr>
        <w:tc>
          <w:tcPr>
            <w:tcW w:w="89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1.6</w:t>
            </w:r>
          </w:p>
        </w:tc>
        <w:tc>
          <w:tcPr>
            <w:tcW w:w="1129"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土地增值税征收管理</w:t>
            </w:r>
          </w:p>
        </w:tc>
        <w:tc>
          <w:tcPr>
            <w:tcW w:w="111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1.6.3土地增值税清算核定</w:t>
            </w:r>
          </w:p>
        </w:tc>
        <w:tc>
          <w:tcPr>
            <w:tcW w:w="213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1.《中华人民共和国税收征收管理法》第三十五条。</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2.《土地增值税清算管理规程》（国税发〔2009〕91号印发）第三十三条、第三十四条。</w:t>
            </w:r>
          </w:p>
        </w:tc>
        <w:tc>
          <w:tcPr>
            <w:tcW w:w="11313"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1.税务机关应当通过官方网站、办税服务场所等渠道公开核定主体、权限、依据、程序、救济渠道、流程图等；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2.主管税务机关发出核定征收的税务事项告知书后，税务人员对房地产项目开展土地增值税核定征收核查，主管税务机关审核合议；</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3.税务机关制作相关文书送达给纳税人，通知纳税人申报缴纳应补缴税款或办理退税。</w:t>
            </w:r>
          </w:p>
        </w:tc>
        <w:tc>
          <w:tcPr>
            <w:tcW w:w="417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1.违反规定核定应纳税额，导致纳税人税负水平明显不合理的；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3.利用职务上的便利，收受或者索取纳税人财物或谋取其他不正当利益的；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4.滥用职权，故意刁难纳税人的；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5.未按照规定为纳税人、检举人保密的；</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6.法律、行政法规等规定的其他不履行或者不正确履行行政职责的情形。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0" w:hRule="atLeast"/>
        </w:trPr>
        <w:tc>
          <w:tcPr>
            <w:tcW w:w="89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1.7</w:t>
            </w:r>
          </w:p>
        </w:tc>
        <w:tc>
          <w:tcPr>
            <w:tcW w:w="1129"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房产税征收管理</w:t>
            </w:r>
          </w:p>
        </w:tc>
        <w:tc>
          <w:tcPr>
            <w:tcW w:w="111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1.7.1房产税征收</w:t>
            </w:r>
          </w:p>
        </w:tc>
        <w:tc>
          <w:tcPr>
            <w:tcW w:w="213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1.《中华人民共和国税收征收管理法》第五条第一款。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2.《中华人民共和国房产税暂行条例》第九条。</w:t>
            </w:r>
          </w:p>
        </w:tc>
        <w:tc>
          <w:tcPr>
            <w:tcW w:w="11313"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1.税务机关应当通过官方网站、办税服务场所等渠道公开征收主体、权限、依据、程序、报送资料、救济渠道、服务指南、流程图等；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2.纳税人直接到税务机关或采取邮寄、数据电文等其他方式办理申报、报送事项的，税务机关应当依法办理，接收相关资料；</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3.税务机关征收税款应当开具完税凭证；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4.税务机关应当按照国家规定的税款入库预算级次，将征收的税款缴入国库。</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以“信用＋风险”动态管理为基础，完善分级分类管理，推进“互联网＋监管”，着力构建和完善信用评价、监控预警、风险应对全流程管理体系，实施“双随机、一公开”税务稽查，加强公正监管，促进共管共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依法应当追征税款的，税务机关应当依法采取责令限期缴纳、责成提供纳税担保、实施税收保全措施或者强制执行措施等方式追征，依法加收滞纳金。纳税人、纳税担保人存在税收违法行为的，税务机关依法给予行政处罚；</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tc>
        <w:tc>
          <w:tcPr>
            <w:tcW w:w="417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税务机关及其工作人员履行行政职责存在以下情形的，应当承担相应责任：</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1.违反规定擅自改变税收征收管理范围和税款入库预算级次的；</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2.违反规定提前征收、延缓征收或者摊派税款的；</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3.违反法律、行政法规的规定擅自作出税收的开征、停征或者减税、免税、退税、补税以及其他同税收法律、行政法规相抵触的决定的；</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4.徇私舞弊或者玩忽职守，不征或者少征应征税款，致使国家税收遭受重大损失的；</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5.滥用职权，故意刁难纳税人的；</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6.利用职务上的便利，收受或者索取纳税人财物或者谋取其他不正当利益的；</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7.未按照规定为纳税人、检举人保密的；</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8.法律、行政法规等规定的其他不履行或者不正确履行行政职责的情形。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34" w:hRule="atLeast"/>
        </w:trPr>
        <w:tc>
          <w:tcPr>
            <w:tcW w:w="89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1.7</w:t>
            </w:r>
          </w:p>
        </w:tc>
        <w:tc>
          <w:tcPr>
            <w:tcW w:w="1129"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房产税征收管理</w:t>
            </w:r>
          </w:p>
        </w:tc>
        <w:tc>
          <w:tcPr>
            <w:tcW w:w="111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1.7.2房产税减免</w:t>
            </w:r>
          </w:p>
        </w:tc>
        <w:tc>
          <w:tcPr>
            <w:tcW w:w="213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1.《中华人民共和国税收征收管理法》第三条、第五条、第三十三条。</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2.《中华人民共和国房产税暂行条例》第九条。</w:t>
            </w:r>
          </w:p>
        </w:tc>
        <w:tc>
          <w:tcPr>
            <w:tcW w:w="11313"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1.税务机关应当通过官方网站、办税服务场所等渠道公开减免事项、依据、程序、报送资料、救济渠道、服务指南、流程图等；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2.纳税人申报享受税收减免，无需报送附列资料的，税务机关应当依法办理，接收相关资料。</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纳税人申报享受房产税优惠，并将有关资料留存备查。各级税务机关根据国家税收法律、法规、规章、规范性文件等规定对自行申报的房产税减免情况进行后续管理。对不应当享受减免税的，依法追缴已享受的减免税款，并予以相应处理。</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三、部门间职责衔接</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税务机关根据具体税收减免事项的监管要求，加强与相关部门的信息共享和协同共治。</w:t>
            </w:r>
          </w:p>
        </w:tc>
        <w:tc>
          <w:tcPr>
            <w:tcW w:w="417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1.违反法律、行政法规的规定，擅自作出减税、免税决定的；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2.违反法定程序为纳税人办理减税、免税手续的；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3.利用职务上的便利，收受或者索取纳税人财物或者谋取其他不正当利益的；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5.滥用职权，故意刁难纳税人的；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6.未按照规定为纳税人、检举人保密的；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0" w:hRule="atLeast"/>
        </w:trPr>
        <w:tc>
          <w:tcPr>
            <w:tcW w:w="89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1.8</w:t>
            </w:r>
          </w:p>
        </w:tc>
        <w:tc>
          <w:tcPr>
            <w:tcW w:w="1129"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城镇土地使用税征收管理</w:t>
            </w:r>
          </w:p>
        </w:tc>
        <w:tc>
          <w:tcPr>
            <w:tcW w:w="111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1.8.1城镇土地使用税征收</w:t>
            </w:r>
          </w:p>
        </w:tc>
        <w:tc>
          <w:tcPr>
            <w:tcW w:w="213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1.《中华人民共和国税收征收管理法》第五条第一款。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2.《中华人民共和国城镇土地使用税暂行条例》第十条。</w:t>
            </w:r>
          </w:p>
        </w:tc>
        <w:tc>
          <w:tcPr>
            <w:tcW w:w="11313"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1.税务机关应当通过官方网站、办税服务场所等渠道公开征收主体、权限、依据、程序、报送资料、救济渠道、服务指南、流程图等；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2.纳税人直接到税务机关或采取邮寄、数据电文等其他方式办理申报、报送事项的，税务机关应当依法办理，接收相关资料；</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3.税务机关征收税款应当开具完税凭证；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4.税务机关应当按照国家规定的税款入库预算级次，将征收的税款缴入国库。</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以“信用＋风险”动态管理为基础，完善分级分类管理，推进“互联网＋监管”，着力构建和完善信用评价、监控预警、风险应对全流程管理体系，实施“双随机、一公开”税务稽查，加强公正监管，促进共管共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依法应当追征税款的，税务机关应当依法采取责令限期缴纳、责成提供纳税担保、实施税收保全措施或者强制执行措施等方式追征，依法加收滞纳金。纳税人、纳税担保人存在税收违法行为的，税务机关依法给予行政处罚；</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三、部门间职责衔接</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自然资源管理部门应当向土地所在地的税务机关提供土地使用权属资料。</w:t>
            </w:r>
          </w:p>
        </w:tc>
        <w:tc>
          <w:tcPr>
            <w:tcW w:w="417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1.违反规定擅自改变税收征收管理范围和税款入库预算级次的；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2.违反规定提前征收、延缓征收或者摊派税款的；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3.违反法律、行政法规的规定擅自作出税收的开征、停征或者减税、免税、退税、补税以及其他同税收法律、行政法规相抵触的决定的；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5.滥用职权，故意刁难纳税人的；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6.利用职务上的便利，收受或者索取纳税人财物或者谋取其他不正当利益的；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7.未按照规定为纳税人、检举人保密的；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83" w:hRule="atLeast"/>
        </w:trPr>
        <w:tc>
          <w:tcPr>
            <w:tcW w:w="89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1.8</w:t>
            </w:r>
          </w:p>
        </w:tc>
        <w:tc>
          <w:tcPr>
            <w:tcW w:w="1129"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城镇土地使用税征收管理</w:t>
            </w:r>
          </w:p>
        </w:tc>
        <w:tc>
          <w:tcPr>
            <w:tcW w:w="111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1.8.2城镇土地使用税减免</w:t>
            </w:r>
          </w:p>
        </w:tc>
        <w:tc>
          <w:tcPr>
            <w:tcW w:w="213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1.《中华人民共和国税收征收管理法》第三条、第五条、第三十三条。</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2.《中华人民共和国城镇土地使用税暂行条例》第七条、第十条。</w:t>
            </w:r>
          </w:p>
        </w:tc>
        <w:tc>
          <w:tcPr>
            <w:tcW w:w="11313"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1.税务机关应当通过官方网站、办税服务场所等渠道公开减免事项、依据、程序、报送资料、救济渠道、服务指南、流程图等；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2.纳税人申报享受税收减免，无需报送附列资料的，税务机关应当依法办理，接收相关资料；</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3.纳税人办理税收减免核准的，税务机关应当接收纳税人提交的相关资料。资料齐全、填写内容完整、符合法定形式的，当场受理；需要纳税人补正有关材料、手续的，应当一次性告知需要补正的内容。</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纳税人申报享受城镇土地使用税优惠，并将有关资料留存备查。各级税务机关根据国家税收法律、法规、规章、规范性文件等规定对自行申报的城镇土地使用税减免情况进行后续管理。对不应当享受减免税的，依法追缴已享受的减免税款，并予以相应处理。</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三、部门间职责衔接</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税务机关根据具体税收减免事项的监管要求，加强与相关部门的信息共享和协同共治。</w:t>
            </w:r>
          </w:p>
        </w:tc>
        <w:tc>
          <w:tcPr>
            <w:tcW w:w="417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1.违反法律、行政法规的规定，擅自作出减税、免税决定的；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2.违反法定程序为纳税人办理减税、免税手续的；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3.利用职务上的便利，收受或者索取纳税人财物或者谋取其他不正当利益的；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5.滥用职权，故意刁难纳税人的；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6.未按照规定为纳税人、检举人保密的；</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7.法律、行政法规等规定的其他不履行或者不正确履行行政职责的情形。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90" w:hRule="atLeast"/>
        </w:trPr>
        <w:tc>
          <w:tcPr>
            <w:tcW w:w="89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1.9</w:t>
            </w:r>
          </w:p>
        </w:tc>
        <w:tc>
          <w:tcPr>
            <w:tcW w:w="1129"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耕地占用税征收管理</w:t>
            </w:r>
          </w:p>
        </w:tc>
        <w:tc>
          <w:tcPr>
            <w:tcW w:w="111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1.9.1耕地占用税征收</w:t>
            </w:r>
          </w:p>
        </w:tc>
        <w:tc>
          <w:tcPr>
            <w:tcW w:w="213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1.《中华人民共和国税收征收管理法》第五条第一款。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2.《中华人民共和国耕地占用税法》第九条。</w:t>
            </w:r>
          </w:p>
        </w:tc>
        <w:tc>
          <w:tcPr>
            <w:tcW w:w="11313"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1.税务机关应当通过官方网站、办税服务场所等渠道公开征收主体、权限、依据、程序、报送资料、救济渠道、服务指南、流程图等；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2.纳税人直接到税务机关或采取邮寄、数据电文等其他方式办理申报、报送事项的，税务机关应当依法办理，接收相关资料；</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3.税务机关征收税款应当开具完税凭证；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4.税务机关应当按照国家规定的税款入库预算级次，将征收的税款缴入国库。</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以“信用＋风险”动态管理为基础，完善分级分类管理，推进“互联网＋监管”，着力构建和完善信用评价、监控预警、风险应对全流程管理体系，实施“双随机、一公开”税务稽查，加强公正监管，促进共管共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依法应当追征税款的，税务机关应当依法采取责令限期缴纳、责成提供纳税担保、实施税收保全措施或者强制执行措施等方式追征，依法加收滞纳金。纳税人、纳税担保人存在税收违法行为的，税务机关依法给予行政处罚；</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三、部门间职责衔接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1.自然资源主管部门凭耕地占用税完税凭证或者免税凭证和其他有关文件发放建设用地批准书；</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应当与相关部门建立耕地占用税涉税信息共享机制和工作配合机制。县级以上地方人民政府自然资源、农业农村、水利等相关部门应当定期向税务机关提供农用地转用、临时占地等信息，协助税务机关加强耕地占用税征收管理；</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3.税务机关发现纳税人的纳税申报数据资料异常或者纳税人未按照规定期限申报纳税的，可以提请相关部门进行复核，相关部门应当自收到税务机关复核申请之日起三十日内向税务机关出具复核意见。</w:t>
            </w:r>
          </w:p>
        </w:tc>
        <w:tc>
          <w:tcPr>
            <w:tcW w:w="417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1.违反规定擅自改变税收征收管理范围和税款入库预算级次的；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2.违反规定提前征收、延缓征收或者摊派税款的；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3.违反法律、行政法规的规定擅自作出税收的开征、停征或者减税、免税、退税、补税以及其他同税收法律、行政法规相抵触的决定的；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5.利用职务上的便利，收受或者索取纳税人财物或者谋取其他不正当利益的；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6.滥用职权，故意刁难纳税人的；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7.未按照规定为纳税人、检举人保密的；</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8.法律、行政法规等规定的其他不履行或者不正确履行行政职责的情形。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83" w:hRule="atLeast"/>
        </w:trPr>
        <w:tc>
          <w:tcPr>
            <w:tcW w:w="89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1.9</w:t>
            </w:r>
          </w:p>
        </w:tc>
        <w:tc>
          <w:tcPr>
            <w:tcW w:w="1129"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耕地占用税征收管理</w:t>
            </w:r>
          </w:p>
        </w:tc>
        <w:tc>
          <w:tcPr>
            <w:tcW w:w="111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1.9.2耕地占用税减免</w:t>
            </w:r>
          </w:p>
        </w:tc>
        <w:tc>
          <w:tcPr>
            <w:tcW w:w="213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1.《中华人民共和国税收征收管理法》第三条、第五条、第三十三条。</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2.《中华人民共和国耕地占用税法》第九条。</w:t>
            </w:r>
          </w:p>
        </w:tc>
        <w:tc>
          <w:tcPr>
            <w:tcW w:w="11313"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1.税务机关应当通过官方网站、办税服务场所等渠道公开减免事项、依据、程序、报送资料、救济渠道、服务指南、流程图等；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2.纳税人申报享受税收减免，无需报送附列资料的，税务机关应当依法办理，接收相关资料。</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纳税人申报享受耕地占用税优惠，并将有关资料留存备查。各级税务机关根据国家税收法律、法规、规章、规范性文件等规定对自行申报的耕地占用税减免情况进行后续管理。对不应当享受减免税的，依法追缴已享受的减免税款，并予以相应处理。</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三、部门间职责衔接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1.自然资源主管部门凭耕地占用税完税凭证或者免税凭证和其他有关文件发放建设用地批准书；</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应当与相关部门建立耕地占用税涉税信息共享机制和工作配合机制。税务机关应当与相关部门建立耕地占用税涉税信息共享机制和工作配合机制。县级以上地方人民政府自然资源、农业农村、水利等相关部门应当定期向税务机关提供农用地转用、临时占地等信息，协助税务机关加强耕地占用税征收管理；</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3.税务机关发现纳税人的纳税申报数据资料异常或者纳税人未按照规定期限申报纳税的，可以提请相关部门进行复核，相关部门应当自收到税务机关复核申请之日起三十日内向税务机关出具复核意见。</w:t>
            </w:r>
          </w:p>
        </w:tc>
        <w:tc>
          <w:tcPr>
            <w:tcW w:w="417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1.违反法律、行政法规的规定，擅自作出减税、免税决定的；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2.违反法定程序为纳税人办理减税、免税手续的；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3.利用职务上的便利，收受或者索取纳税人财物或者谋取其他不正当利益的；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5.滥用职权，故意刁难纳税人的；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6.未按照规定为纳税人、检举人保密的；</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7.法律、行政法规等规定的其他不履行或者不正确履行行政职责的情形。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0" w:hRule="atLeast"/>
        </w:trPr>
        <w:tc>
          <w:tcPr>
            <w:tcW w:w="89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1.10</w:t>
            </w:r>
          </w:p>
        </w:tc>
        <w:tc>
          <w:tcPr>
            <w:tcW w:w="1129"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契税征收管理</w:t>
            </w:r>
          </w:p>
        </w:tc>
        <w:tc>
          <w:tcPr>
            <w:tcW w:w="111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1.10.1契税征收</w:t>
            </w:r>
          </w:p>
        </w:tc>
        <w:tc>
          <w:tcPr>
            <w:tcW w:w="213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1.《中华人民共和国税收征收管理法》第五条第一款。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2.《中华人民共和国契税暂行条例》第十二条第一款。</w:t>
            </w:r>
          </w:p>
        </w:tc>
        <w:tc>
          <w:tcPr>
            <w:tcW w:w="11313"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1.税务机关应当通过官方网站、办税服务场所等渠道公开征收主体、权限、依据、程序、报送资料、救济渠道、服务指南、流程图等；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2.纳税人直接到税务机关或采取邮寄、数据电文等其他方式办理申报、报送事项的，税务机关应当依法办理，接收相关资料；</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3.税务机关征收税款应当开具完税凭证；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4.税务机关应当按照国家规定的税款入库预算级次，将征收的税款缴入国库。</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以“信用＋风险”动态管理为基础，完善分级分类管理，推进“互联网＋监管”，着力构建和完善信用评价、监控预警、风险应对全流程管理体系，实施“双随机、一公开”税务稽查，加强公正监管，促进共管共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依法应当追征税款的，税务机关应当依法采取责令限期缴纳、责成提供纳税担保、实施税收保全措施或者强制执行措施等方式追征，依法加收滞纳金。纳税人、纳税担保人存在税收违法行为的，税务机关依法给予行政处罚；</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三、部门间职责衔接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1.自然资源管理部门、房产管理部门应当向契税征收机关提供有关资料，并协助契税征收机关依法征收契税；</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2.各级税务、财政和自然资源主管部门，要共同研究强化土地税收征管的办法和措施，通过信息共享、情况通报、联合办公、联席会议等多种形式沟通情况和信息，加强部门间的协作配合；</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各级自然资源主管部门应根据税务、财政部门的需要，提供现有的地籍资料和相关地价资料。对于通过征用或者出让、转让方式取得的土地，以及出租土地使用权或变更土地登记的，国土资源管理部门在办理用地手续后，应及时把有关信息告知当地的税务、财政部门；</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4.各级税务、财政部门在征管工作中，如发现纳税人没有办理用地手续或未进行土地登记的，应及时将有关信息告知当地自然资源主管部门。</w:t>
            </w:r>
          </w:p>
        </w:tc>
        <w:tc>
          <w:tcPr>
            <w:tcW w:w="417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1.违反规定擅自改变税收征收管理范围和税款入库预算级次的；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2.违反法律、行政法规的规定提前征收、延缓征收或者摊派税款的；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3.违反法律、行政法规的规定擅自作出税收的开征、停征或者减税、免税、退税、补税以及其他同税收法律、行政法规相抵触的决定的；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5.利用职务上的便利，收受或者索取纳税人财物或者谋取其他不正当利益的；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6.滥用职权，故意刁难纳税人的；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7.未按照规定为纳税人、检举人保密的；</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8.法律、行政法规等规定的其他不履行或者不正确履行行政职责的情形。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00" w:hRule="atLeast"/>
        </w:trPr>
        <w:tc>
          <w:tcPr>
            <w:tcW w:w="89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1.10</w:t>
            </w:r>
          </w:p>
        </w:tc>
        <w:tc>
          <w:tcPr>
            <w:tcW w:w="1129"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契税征收管理</w:t>
            </w:r>
          </w:p>
        </w:tc>
        <w:tc>
          <w:tcPr>
            <w:tcW w:w="111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1.10.2契税减免</w:t>
            </w:r>
          </w:p>
        </w:tc>
        <w:tc>
          <w:tcPr>
            <w:tcW w:w="213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1.《中华人民共和国税收征收管理法》第三条、第五条、第三十三条。</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2.《中华人民共和国契税暂行条例》第十二条第一款。</w:t>
            </w:r>
          </w:p>
        </w:tc>
        <w:tc>
          <w:tcPr>
            <w:tcW w:w="11313"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1.税务机关应当通过官方网站、办税服务场所等渠道公开减免事项、依据、程序、报送资料、救济渠道、服务指南、流程图等；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w:t>
            </w:r>
            <w:r>
              <w:rPr>
                <w:rFonts w:hint="eastAsia" w:ascii="宋体" w:hAnsi="宋体" w:cs="宋体"/>
                <w:color w:val="000000"/>
                <w:kern w:val="0"/>
                <w:sz w:val="24"/>
              </w:rPr>
              <w:t>纳税人申报享受税收减免，需要报送附列资料的，如资料齐全、符合法定形式，应当予以受理；需要纳税人补正有关材料、手续的，应当一次性告知需要补正的内容</w:t>
            </w:r>
            <w:r>
              <w:rPr>
                <w:rFonts w:hint="eastAsia" w:ascii="宋体" w:hAnsi="宋体" w:eastAsia="宋体" w:cs="宋体"/>
                <w:color w:val="000000"/>
                <w:kern w:val="0"/>
                <w:sz w:val="24"/>
              </w:rPr>
              <w:t>。</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各级税务机关根据国家税收法律、法规、规章、规范性文件等规定对自行申报的契税减免情况进行后续管理。对不应当享受减免税的，依法追缴已享受的减免税款，并予以相应处理。</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三、部门间职责衔接</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各级自然资源主管部门在办理土地使用权属登记时，应按照《中华人民共和国契税暂行条例》《中华人民共和国土地增值税暂行条例》的规定，在纳税人出具完税（或减免税）凭证后，再办理登记手续；对于未出具完税（或减免税）凭证的，不予办理相关的手续。办理土地登记后，应将完税（或减免税）凭证一联与权属登记资料一并归档备查。</w:t>
            </w:r>
          </w:p>
        </w:tc>
        <w:tc>
          <w:tcPr>
            <w:tcW w:w="417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1.违反法律、行政法规的规定，擅自作出减税、免税决定的；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2.违反法定程序为纳税人办理减税、免税手续的；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3.利用职务上的便利，收受或者索取纳税人财物或者谋取其他不正当利益的；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5.滥用职权，故意刁难纳税人的；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6.未按照规定为纳税人、检举人保密的；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00" w:hRule="atLeast"/>
        </w:trPr>
        <w:tc>
          <w:tcPr>
            <w:tcW w:w="89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1.11</w:t>
            </w:r>
          </w:p>
        </w:tc>
        <w:tc>
          <w:tcPr>
            <w:tcW w:w="1129"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资源税征收管理</w:t>
            </w:r>
          </w:p>
        </w:tc>
        <w:tc>
          <w:tcPr>
            <w:tcW w:w="111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1.11.1资源税征收</w:t>
            </w:r>
          </w:p>
        </w:tc>
        <w:tc>
          <w:tcPr>
            <w:tcW w:w="213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1.《中华人民共和国税收征收管理法》第五条第一款。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2.《中华人民共和国资源税暂行条例》第十条。</w:t>
            </w:r>
          </w:p>
        </w:tc>
        <w:tc>
          <w:tcPr>
            <w:tcW w:w="11313"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1.税务机关应当通过官方网站、办税服务场所等渠道公开征收主体、权限、依据、程序、报送资料、救济渠道、服务指南、流程图等；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2.纳税人直接到税务机关或采取邮寄、数据电文等其他方式办理申报、报送事项的，税务机关应当依法办理，接收相关资料；</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3.税务机关征收税款应当开具完税凭证；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4.税务机关应当按照国家规定的税款入库预算级次，将征收的税款缴入国库。</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以“信用＋风险”动态管理为基础，完善分级分类管理，推进“互联网＋监管”，着力构建和完善信用评价、监控预警、风险应对全流程管理体系，实施“双随机、一公开”税务稽查，加强公正监管，促进共管共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依法应当追征税款的，税务机关应当依法采取责令限期缴纳、责成提供纳税担保、实施税收保全措施或者强制执行措施等方式追征，依法加收滞纳金。纳税人、纳税担保人存在税收违法行为的，税务机关依法给予行政处罚；</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三、部门间职责衔接</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税务机关应当加强与矿业管理部门、行业协会等有关部门沟通协作，实现信息共享。</w:t>
            </w:r>
          </w:p>
        </w:tc>
        <w:tc>
          <w:tcPr>
            <w:tcW w:w="417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1.违反规定擅自改变税收征收管理范围和税款入库预算级次的；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2.违反法律、行政法规的规定提前征收、延缓征收或者摊派税款的；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3.违反法律、行政法规的规定擅自作出税收的开征、停征或者减税、免税、退税、补税以及其他同税收法律、行政法规相抵触的决定的；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5.利用职务上的便利，收受或者索取纳税人财物或者谋取其他不正当利益的；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6.滥用职权，故意刁难纳税人的；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7.未按照规定为纳税人、检举人保密的；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00" w:hRule="atLeast"/>
        </w:trPr>
        <w:tc>
          <w:tcPr>
            <w:tcW w:w="89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1.11</w:t>
            </w:r>
          </w:p>
        </w:tc>
        <w:tc>
          <w:tcPr>
            <w:tcW w:w="1129"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资源税征收管理</w:t>
            </w:r>
          </w:p>
        </w:tc>
        <w:tc>
          <w:tcPr>
            <w:tcW w:w="111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1.11.2资源税减免</w:t>
            </w:r>
          </w:p>
        </w:tc>
        <w:tc>
          <w:tcPr>
            <w:tcW w:w="213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1.《中华人民共和国税收征收管理法》第三条、第五条、第三十三条。</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2.《中华人民共和国资源税暂行条例》第十条。</w:t>
            </w:r>
          </w:p>
        </w:tc>
        <w:tc>
          <w:tcPr>
            <w:tcW w:w="11313"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1.税务机关应当通过官方网站、办税服务场所等渠道公开减免事项、依据、程序、报送资料、救济渠道、服务指南、流程图等；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2.纳税人申报享受税收减免的，无需报送附列资料，税务机关应当依法办理，接收相关资料；需要纳税人补正有关资料、手续的，应当一次性告知需要补正的内容；</w:t>
            </w:r>
          </w:p>
          <w:p>
            <w:pPr>
              <w:widowControl/>
              <w:jc w:val="left"/>
              <w:textAlignment w:val="center"/>
              <w:rPr>
                <w:rFonts w:ascii="宋体" w:hAnsi="宋体" w:cs="宋体"/>
                <w:color w:val="000000"/>
                <w:kern w:val="0"/>
                <w:sz w:val="24"/>
              </w:rPr>
            </w:pPr>
            <w:r>
              <w:rPr>
                <w:rFonts w:hint="eastAsia" w:ascii="宋体" w:hAnsi="宋体" w:eastAsia="宋体" w:cs="宋体"/>
                <w:color w:val="000000"/>
                <w:kern w:val="0"/>
                <w:sz w:val="24"/>
              </w:rPr>
              <w:t>3.纳税人办理税收减免需要核准的，纳税人向主管税务机关提出，由省、自治区、直辖市人民政府决定，税务机关根据省、自治区、直辖市人民政府的决定，减征或免征资源税。</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应当将享受减免税的纳税人履行纳税义务情况纳入风险管理，加强监督检查，对纳税人减免税政策适用的准确性进行审核。经主管税务机关核实后，对于不符合资源税减税条件的纳税人，主管税务机关应当责令其停止享受减税优惠；已享受减税优惠的，由主管税务机关责令纳税人补缴已减征的资源税税款并加收滞纳金；提供虚假资料的，按照《中华人民共和国税收征收管理法》及其实施细则有关规定予以处理。</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三、部门间职责衔接</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主管税务机关与自然资源主管部门要建立相应的协作机制。根据工作需要，主管税务机关可请自然资源主管部门提供相关信息，自然资源主管部门予以协助支持。主管税务机关对相关信息进行比对，发现企业备案的有关储量、开采方式等信息有疑点的，可通过咨询自然资源主管部门进行核实。</w:t>
            </w:r>
          </w:p>
        </w:tc>
        <w:tc>
          <w:tcPr>
            <w:tcW w:w="417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1.违反法律、行政法规的规定，擅自作出减税、免税决定的；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2.违反法定程序为纳税人办理减税、免税手续的；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3.利用职务上的便利，收受或者索取纳税人财物或者谋取其他不正当利益的；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5.滥用职权，故意刁难纳税人的；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6.未按照规定为纳税人、检举人保密的；</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7.法律、行政法规等规定的其他不履行或者不正确履行行政职责的情形。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00" w:hRule="atLeast"/>
        </w:trPr>
        <w:tc>
          <w:tcPr>
            <w:tcW w:w="89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1.12</w:t>
            </w:r>
          </w:p>
        </w:tc>
        <w:tc>
          <w:tcPr>
            <w:tcW w:w="1129"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车船税征收管理</w:t>
            </w:r>
          </w:p>
        </w:tc>
        <w:tc>
          <w:tcPr>
            <w:tcW w:w="111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1.12.1车船税征收</w:t>
            </w:r>
          </w:p>
        </w:tc>
        <w:tc>
          <w:tcPr>
            <w:tcW w:w="2137" w:type="dxa"/>
            <w:shd w:val="clear" w:color="auto" w:fill="auto"/>
            <w:tcMar>
              <w:top w:w="10" w:type="dxa"/>
              <w:left w:w="10" w:type="dxa"/>
              <w:right w:w="10" w:type="dxa"/>
            </w:tcMar>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1.《中华人民共和国税收征收管理法》第五条第一款。</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2.《中华人民共和国车船税法》第十一条、第十二条。</w:t>
            </w:r>
          </w:p>
          <w:p>
            <w:pPr>
              <w:widowControl/>
              <w:jc w:val="left"/>
              <w:textAlignment w:val="center"/>
              <w:rPr>
                <w:rFonts w:ascii="宋体" w:hAnsi="宋体" w:eastAsia="宋体" w:cs="宋体"/>
                <w:color w:val="000000"/>
                <w:sz w:val="24"/>
              </w:rPr>
            </w:pPr>
            <w:r>
              <w:rPr>
                <w:rFonts w:hint="eastAsia" w:ascii="宋体" w:hAnsi="宋体" w:cs="宋体"/>
                <w:color w:val="000000"/>
                <w:kern w:val="0"/>
                <w:sz w:val="24"/>
              </w:rPr>
              <w:t>3.《中华人民共和国车船税法实施条例》第十一条。</w:t>
            </w:r>
          </w:p>
        </w:tc>
        <w:tc>
          <w:tcPr>
            <w:tcW w:w="11313"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1.税务机关应当通过官方网站、办税服务场所等渠道公开征收主体、权限、依据、程序、报送资料、救济渠道、服务指南、流程图等；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2.纳税人、扣缴义务人直接到税务机关或采取邮寄、数据电文等其他方式办理申报、报送事项的，税务机关应当依法办理，接收相关资料；</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3.税务机关征收税款应当开具完税凭证；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4.税务机关应当按照国家规定的税款入库预算级次，将征收的税款缴入国库。</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以“信用＋风险”动态管理为基础，完善分级分类管理，推进“互联网＋监管”，着力构建和完善信用评价、监控预警、风险应对全流程管理体系，实施“双随机、一公开”税务稽查，加强公正监管，促进共管共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依法应当追征税款的，税务机关应当依法采取责令限期缴纳、责成提供纳税担保、实施税收保全措施或者强制执行措施等方式追征，依法加收滞纳金。纳税人、扣缴义务人、纳税担保人存在税收违法行为的，税务机关依法给予行政处罚；</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三、部门间职责衔接</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1.税务机关可以在车船登记管理部门、车船检验机构的办公场所集中办理车船税征收事宜；</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2.公安、交通运输、农业、渔业等车船登记管理部门、船舶检验机构和车船税扣缴义务人的行业主管部门应当在提供车船有关信息等方面，协助税务机关加强车船税的征收管理；</w:t>
            </w:r>
          </w:p>
          <w:p>
            <w:pPr>
              <w:widowControl/>
              <w:jc w:val="left"/>
              <w:textAlignment w:val="center"/>
              <w:rPr>
                <w:rFonts w:ascii="宋体" w:hAnsi="宋体" w:eastAsia="宋体" w:cs="宋体"/>
                <w:color w:val="000000"/>
                <w:sz w:val="24"/>
              </w:rPr>
            </w:pPr>
            <w:r>
              <w:rPr>
                <w:rFonts w:hint="eastAsia" w:ascii="宋体" w:hAnsi="宋体" w:cs="宋体"/>
                <w:color w:val="000000"/>
                <w:kern w:val="0"/>
                <w:sz w:val="24"/>
              </w:rPr>
              <w:t>3.车辆所有人或者管理人在申请办理车辆相关登记、定期检验手续时，应当向公安机关交通管理部门提交依法纳税或者免税证明。公安机关交通管理部门核查后办理相关手续。</w:t>
            </w:r>
          </w:p>
        </w:tc>
        <w:tc>
          <w:tcPr>
            <w:tcW w:w="417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1.违反规定擅自改变税收征收管理范围和税款入库预算级次的；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2.违反法律、行政法规的规定提前征收、延缓征收或者摊派税款的；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3.违反法律、行政法规的规定擅自作出税收的开征、停征或者减税、免税、退税、补税以及其他同税收法律、行政法规相抵触的决定的；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5.利用职务上的便利，收受或者索取纳税人、扣缴义务人财物或者谋取其他不正当利益的；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7.未按照规定为纳税人、扣缴义务人、检举人保密的；</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8.法律、行政法规等规定的其他不履行或者不正确履行行政职责的情形。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0" w:hRule="atLeast"/>
        </w:trPr>
        <w:tc>
          <w:tcPr>
            <w:tcW w:w="89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1.12</w:t>
            </w:r>
          </w:p>
        </w:tc>
        <w:tc>
          <w:tcPr>
            <w:tcW w:w="1129"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车船税征收管理</w:t>
            </w:r>
          </w:p>
        </w:tc>
        <w:tc>
          <w:tcPr>
            <w:tcW w:w="111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1.12.2车船税减免</w:t>
            </w:r>
          </w:p>
        </w:tc>
        <w:tc>
          <w:tcPr>
            <w:tcW w:w="2137" w:type="dxa"/>
            <w:shd w:val="clear" w:color="auto" w:fill="auto"/>
            <w:tcMar>
              <w:top w:w="10" w:type="dxa"/>
              <w:left w:w="10" w:type="dxa"/>
              <w:right w:w="10" w:type="dxa"/>
            </w:tcMar>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1.《中华人民共和国税收征收管理法》第三条、第五条、第三十三条。</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2.《中华人民共和国车船税法》第十一条、第十二条。</w:t>
            </w:r>
          </w:p>
          <w:p>
            <w:pPr>
              <w:widowControl/>
              <w:jc w:val="left"/>
              <w:textAlignment w:val="center"/>
              <w:rPr>
                <w:rFonts w:ascii="宋体" w:hAnsi="宋体" w:eastAsia="宋体" w:cs="宋体"/>
                <w:color w:val="000000"/>
                <w:sz w:val="24"/>
              </w:rPr>
            </w:pPr>
            <w:r>
              <w:rPr>
                <w:rFonts w:hint="eastAsia" w:ascii="宋体" w:hAnsi="宋体" w:cs="宋体"/>
                <w:color w:val="000000"/>
                <w:kern w:val="0"/>
                <w:sz w:val="24"/>
              </w:rPr>
              <w:t>3.《中华人民共和国车船税法实施条例》第十一条。</w:t>
            </w:r>
          </w:p>
        </w:tc>
        <w:tc>
          <w:tcPr>
            <w:tcW w:w="11313"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1.税务机关应当通过官方网站、办税服务场所等渠道公开减免事项、依据、程序、报送资料、救济渠道、服务指南、流程图等；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2.纳税人申报享受税收减免，无需报送附列资料的，税务机关应当依法办理，接收相关资料；需要纳税人补正有关材料、手续的，应当一次性告知需要补正的内容。</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纳税人享受减免税的，对符合政策规定条件的材料有留存备查的义务。各级税务机关根据国家税收法律、法规、规章、规范性文件等规定对自行申报的车船税减免情况进行后续管理。对不应当享受减免税的，依法追缴已享受的减免税款，并予以相应处理。</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三、部门间职责衔接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1.税务机关可以在车船登记管理部门、车船检验机构的办公场所集中办理车船税征收事宜；</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2.公安机关交通管理部门在办理车辆相关登记和定期检验手续时，经核查，对没有提供依法纳税或者免税证明的，不予办理相关手续。</w:t>
            </w:r>
          </w:p>
        </w:tc>
        <w:tc>
          <w:tcPr>
            <w:tcW w:w="417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1.违反法律、行政法规的规定，擅自作出减税、免税决定的；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2.违反法定程序为纳税人办理减税、免税手续的；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3.利用职务上的便利，收受或者索取纳税人、扣缴义务人财物或者谋取其他不正当利益的；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5.滥用职权，故意刁难纳税人的；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6.未按照规定为纳税人、扣缴义务人、检举人保密的；</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7.法律、行政法规等规定的其他不履行或者不正确履行行政职责的情形。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31" w:hRule="atLeast"/>
        </w:trPr>
        <w:tc>
          <w:tcPr>
            <w:tcW w:w="89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1.13</w:t>
            </w:r>
          </w:p>
        </w:tc>
        <w:tc>
          <w:tcPr>
            <w:tcW w:w="1129"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印花税征收管理</w:t>
            </w:r>
          </w:p>
        </w:tc>
        <w:tc>
          <w:tcPr>
            <w:tcW w:w="111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1.13.1印花税征收</w:t>
            </w:r>
          </w:p>
        </w:tc>
        <w:tc>
          <w:tcPr>
            <w:tcW w:w="213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1.《中华人民共和国税收征收管理法》第五条第一款。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2.《中华人民共和国印花税暂行条例》第十条。</w:t>
            </w:r>
          </w:p>
        </w:tc>
        <w:tc>
          <w:tcPr>
            <w:tcW w:w="11313"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1.税务机关应当通过官方网站、办税服务场所等渠道公开征收主体、权限、依据、程序、报送资料、救济渠道、服务指南、流程图等；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印花税实行由纳税人根据规定自行计算应纳税额，购买并一次贴足印花税票的缴纳办法。应纳税额较大或者贴花次数频繁，纳税人向税务机关提出以缴款书代替贴花或者按期汇总缴纳的，税务机关应当依法办理；</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3.税务机关征收税款应当开具完税凭证；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4.税务机关应当按照国家规定的税款入库预算级次，将征收的税款缴入国库。</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以“信用＋风险”动态管理为基础，完善分级分类管理，推进“互联网＋监管”，着力构建和完善信用评价、监控预警、风险应对全流程管理体系，实施“双随机、一公开”税务稽查，加强公正监管，促进共管共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依法应当追征税款的，税务机关应当依法采取责令限期缴纳、责成提供纳税担保、实施税收保全措施或者强制执行措施等方式追征，依法加收滞纳金。纳税人、扣缴义务人、纳税担保人存在税收违法行为的，税务机关依法给予行政处罚；</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tc>
        <w:tc>
          <w:tcPr>
            <w:tcW w:w="417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1.违反规定擅自改变税收征收管理范围和税款入库预算级次的；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2.违反法律、行政法规的规定提前征收、延缓征收或者摊派税款的；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3.违反法律、行政法规的规定擅自作出税收的开征、停征或者减税、免税、退税、补税以及其他同税收法律、行政法规相抵触的决定的；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5.利用职务上的便利，收受或者索取纳税人、扣缴义务人财物或者谋取其他不正当利益的；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7.未按照规定为纳税人、扣缴义务人、检举人保密的；</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8.法律、行政法规等规定的其他不履行或者不正确履行行政职责的情形。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24" w:hRule="atLeast"/>
        </w:trPr>
        <w:tc>
          <w:tcPr>
            <w:tcW w:w="89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1.13</w:t>
            </w:r>
          </w:p>
        </w:tc>
        <w:tc>
          <w:tcPr>
            <w:tcW w:w="1129"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印花税征收管理</w:t>
            </w:r>
          </w:p>
        </w:tc>
        <w:tc>
          <w:tcPr>
            <w:tcW w:w="111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1.13.2印花税减免</w:t>
            </w:r>
          </w:p>
        </w:tc>
        <w:tc>
          <w:tcPr>
            <w:tcW w:w="213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1.《中华人民共和国税收征收管理法》第三条、第五条、第三十三条。</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2.《中华人民共和国印花税暂行条例》第十条。</w:t>
            </w:r>
          </w:p>
        </w:tc>
        <w:tc>
          <w:tcPr>
            <w:tcW w:w="11313"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1.税务机关应当通过官方网站、办税服务场所等渠道公开减免事项、依据、程序、报送资料、救济渠道、服务指南、流程图等；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2.纳税人申报享受税收减免，无需报送附列资料的，税务机关应当依法办理，接收相关资料。</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纳税人申报享受印花税优惠，并将有关资料留存备查。各级税务机关根据国家税收法律、法规、规章、规范性文件等规定对自行申报的印花税减免情况进行后续管理。对不应当享受减免税的，依法追缴已享受的减免税款，并予以相应处理。</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三、部门间职责衔接</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税务机关根据具体税收减免事项的监管要求，加强与相关部门的信息共享和协同共治。</w:t>
            </w:r>
          </w:p>
        </w:tc>
        <w:tc>
          <w:tcPr>
            <w:tcW w:w="417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1.违反法律、行政法规的规定，擅自作出减税、免税决定的；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2.违反法定程序为纳税人办理减税、免税手续的；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3.利用职务上的便利，收受或者索取纳税人、扣缴义务人财物或者谋取其他不正当利益的；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6.未按照规定为纳税人、扣缴义务人、检举人保密的；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09" w:hRule="atLeast"/>
        </w:trPr>
        <w:tc>
          <w:tcPr>
            <w:tcW w:w="89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1.14</w:t>
            </w:r>
          </w:p>
        </w:tc>
        <w:tc>
          <w:tcPr>
            <w:tcW w:w="1129"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城市维护建设税征收管理</w:t>
            </w:r>
          </w:p>
        </w:tc>
        <w:tc>
          <w:tcPr>
            <w:tcW w:w="111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1.14.1城市维护建设税征收</w:t>
            </w:r>
          </w:p>
        </w:tc>
        <w:tc>
          <w:tcPr>
            <w:tcW w:w="213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1.《中华人民共和国税收征收管理法》第五条第一款。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2.《中华人民共和国城市维护建设税暂行条例》第五条。</w:t>
            </w:r>
          </w:p>
        </w:tc>
        <w:tc>
          <w:tcPr>
            <w:tcW w:w="11313"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1.税务机关应当通过官方网站、办税服务场所等渠道公开征收主体、权限、依据、程序、报送资料、救济渠道、服务指南、流程图等；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2.税务机关应当受理纳税人、扣缴义务人直接申报、邮寄申报、数据电文申报或者其他方式申报，接收相关资料；</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3.税务机关征收税款应当开具完税凭证；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4.税务机关应当按照国家规定的税款入库预算级次，将征收的税款缴入国库。</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以“信用＋风险”动态管理为基础，完善分级分类管理，推进“互联网＋监管”，着力构建和完善信用评价、监控预警、风险应对全流程管理体系，实施“双随机、一公开”税务稽查，加强公正监管，促进共管共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依法应当追征税款的，税务机关应当依法采取责令限期缴纳、责成提供纳税担保、实施税收保全措施或者强制执行措施等方式追征，依法加收滞纳金。纳税人、纳税担保人存在税收违法行为的，税务机关依法给予行政处罚；</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tc>
        <w:tc>
          <w:tcPr>
            <w:tcW w:w="417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1.违反规定擅自改变税收征收管理范围和税款入库预算级次的；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2.违反法律、行政法规的规定提前征收、延缓征收或者摊派税款的；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3.违反法律、行政法规的规定擅自作出税收的开征、停征或者减税、免税、退税、补税以及其他同税收法律、行政法规相抵触的决定的；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5.利用职务上的便利，收受或者索取纳税人、扣缴义务人财物或者谋取其他不正当利益的；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7.未按照规定为纳税人、扣缴义务人、检举人保密的；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33" w:hRule="atLeast"/>
        </w:trPr>
        <w:tc>
          <w:tcPr>
            <w:tcW w:w="89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1.14</w:t>
            </w:r>
          </w:p>
        </w:tc>
        <w:tc>
          <w:tcPr>
            <w:tcW w:w="1129"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城市维护建设税征收管理</w:t>
            </w:r>
          </w:p>
        </w:tc>
        <w:tc>
          <w:tcPr>
            <w:tcW w:w="111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1.14.2城市维护建设税减免</w:t>
            </w:r>
          </w:p>
        </w:tc>
        <w:tc>
          <w:tcPr>
            <w:tcW w:w="213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1.《中华人民共和国税收征收管理法》第三条、第五条、第三十三条。</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2.《中华人民共和国城市维护建设税暂行条例》第五条。</w:t>
            </w:r>
          </w:p>
        </w:tc>
        <w:tc>
          <w:tcPr>
            <w:tcW w:w="11313"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1.税务机关应当通过官方网站、办税服务场所等渠道公开减免事项、依据、程序、报送资料、救济渠道、服务指南、流程图等；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2.纳税人申报享受税收减免，无需报送附列资料的，税务机关应当依法办理，接收相关资料。</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各级税务机关根据国家税收法律、法规、规章、规范性文件等规定对自行申报的城市维护建设税减免情况进行后续管理。对不应当享受减免税的，依法追缴已享受的减免税款，并予以相应处理。</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三、部门间职责衔接</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税务机关根据具体税收减免事项的监管要求，加强与相关部门的信息共享和协同共治。</w:t>
            </w:r>
          </w:p>
        </w:tc>
        <w:tc>
          <w:tcPr>
            <w:tcW w:w="4177" w:type="dxa"/>
            <w:shd w:val="clear" w:color="auto" w:fill="auto"/>
            <w:tcMar>
              <w:top w:w="10" w:type="dxa"/>
              <w:left w:w="10" w:type="dxa"/>
              <w:right w:w="10" w:type="dxa"/>
            </w:tcMar>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税务机关及其工作人员履行行政职责存在以下情形的，应当承担相应责任：</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1.违反法律、行政法规的规定，擅自作出减税、免税决定的；</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2.违反法定程序为纳税人办理减税、免税手续的；</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3.徇私舞弊或者玩忽职守，不征或者少征应征税款，致使国家税收遭受重大损失的；</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4.利用职务上的便利，收受或者索取纳税人、扣缴义务人财物或者谋取其他不正当利益的；</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5.滥用职权，故意刁难纳税人、扣缴义务人的；</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6.未按照规定为纳税人、扣缴义务人、检举人保密的；</w:t>
            </w:r>
          </w:p>
          <w:p>
            <w:pPr>
              <w:widowControl/>
              <w:jc w:val="left"/>
              <w:textAlignment w:val="center"/>
              <w:rPr>
                <w:rFonts w:ascii="宋体" w:hAnsi="宋体" w:eastAsia="宋体" w:cs="宋体"/>
                <w:color w:val="000000"/>
                <w:sz w:val="24"/>
              </w:rPr>
            </w:pPr>
            <w:r>
              <w:rPr>
                <w:rFonts w:hint="eastAsia" w:ascii="宋体" w:hAnsi="宋体" w:cs="宋体"/>
                <w:color w:val="000000"/>
                <w:kern w:val="0"/>
                <w:sz w:val="24"/>
              </w:rPr>
              <w:t>7.法律、行政法规等规定的其他不履行或者不正确履行行政职责的情形。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6" w:hRule="atLeast"/>
        </w:trPr>
        <w:tc>
          <w:tcPr>
            <w:tcW w:w="89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1.15</w:t>
            </w:r>
          </w:p>
        </w:tc>
        <w:tc>
          <w:tcPr>
            <w:tcW w:w="1129"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烟叶税征收管理</w:t>
            </w:r>
          </w:p>
        </w:tc>
        <w:tc>
          <w:tcPr>
            <w:tcW w:w="1114" w:type="dxa"/>
            <w:shd w:val="clear" w:color="auto" w:fill="auto"/>
            <w:tcMar>
              <w:top w:w="10" w:type="dxa"/>
              <w:left w:w="10" w:type="dxa"/>
              <w:right w:w="10" w:type="dxa"/>
            </w:tcMar>
            <w:vAlign w:val="center"/>
          </w:tcPr>
          <w:p>
            <w:pPr>
              <w:jc w:val="left"/>
              <w:rPr>
                <w:rFonts w:ascii="宋体" w:hAnsi="宋体" w:eastAsia="宋体" w:cs="宋体"/>
                <w:color w:val="000000"/>
                <w:sz w:val="24"/>
              </w:rPr>
            </w:pPr>
          </w:p>
        </w:tc>
        <w:tc>
          <w:tcPr>
            <w:tcW w:w="213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1.《中华人民共和国税收征收管理法》第五条第一款。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2.《中华人民共和国烟叶税法》第六条。</w:t>
            </w:r>
          </w:p>
        </w:tc>
        <w:tc>
          <w:tcPr>
            <w:tcW w:w="11313"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1.税务机关应当通过官方网站、办税服务场所等渠道公开征收主体、权限、依据、程序、报送资料、救济渠道、服务指南、流程图等；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2.纳税人、扣缴义务人直接到税务机关或采取邮寄、数据电文等其他方式办理申报、报送事项的，税务机关应当依法办理，接收相关资料；</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3.税务机关征收税款应当开具完税凭证；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4.税务机关应当按照国家规定的税款入库预算级次，将征收的税款缴入国库。</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以“信用＋风险”动态管理为基础，完善分级分类管理，推进“互联网＋监管”，着力构建和完善信用评价、监控预警、风险应对全流程管理体系，实施“双随机、一公开”税务稽查，加强公正监管，促进共管共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依法应当追征税款的，税务机关应当依法采取责令限期缴纳、责成提供纳税担保、实施税收保全措施或者强制执行措施等方式追征，依法加收滞纳金。纳税人、纳税担保人存在税收违法行为的，税务机关依法给予行政处罚；</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tc>
        <w:tc>
          <w:tcPr>
            <w:tcW w:w="417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1.违反规定擅自改变税收征收管理范围和税款入库预算级次的；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2.违反法律、行政法规的规定提前征收、延缓征收或者摊派税款的；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3.违反法律、行政法规的规定擅自作出税收的开征、停征或者减税、免税、退税、补税以及其他同税收法律、行政法规相抵触的决定的；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5.利用职务上的便利，收受或者索取纳税人财物或者谋取其他不正当利益的；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6.滥用职权，故意刁难纳税人的；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7.未按照规定为纳税人、检举人保密的；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75" w:hRule="atLeast"/>
        </w:trPr>
        <w:tc>
          <w:tcPr>
            <w:tcW w:w="89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1.16</w:t>
            </w:r>
          </w:p>
        </w:tc>
        <w:tc>
          <w:tcPr>
            <w:tcW w:w="1129"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环境保护税征收管理</w:t>
            </w:r>
          </w:p>
        </w:tc>
        <w:tc>
          <w:tcPr>
            <w:tcW w:w="111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1.16.1环境保护税征收</w:t>
            </w:r>
          </w:p>
        </w:tc>
        <w:tc>
          <w:tcPr>
            <w:tcW w:w="213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1.《中华人民共和国税收征收管理法》第五条第一款。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2.《中华人民共和国环境保护税法》第十四条第一款。</w:t>
            </w:r>
          </w:p>
        </w:tc>
        <w:tc>
          <w:tcPr>
            <w:tcW w:w="11313"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1.税务机关应当通过官方网站、办税服务场所等渠道公开征收主体、权限、依据、程序、报送资料、救济渠道、服务指南、流程图等；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2.纳税人直接到税务机关或采取邮寄、数据电文等其他方式办理申报、报送事项的，税务机关应当依法办理，接收相关资料；</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3.税务机关征收税款应当开具完税凭证；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4.税务机关应当按照国家规定的税款入库预算级次，将征收的税款缴入国库。</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以“信用＋风险”动态管理为基础，完善分级分类管理，推进“互联网＋监管”，着力构建和完善信用评价、监控预警、风险应对全流程管理体系，实施“双随机、一公开”税务稽查，加强公正监管，促进共管共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依法应当追征税款的，税务机关应当依法采取责令限期缴纳、责成提供纳税担保、实施税收保全措施或者强制执行措施等方式追征，依法加收滞纳金。纳税人、纳税担保人存在税收违法行为的，税务机关依法给予行政处罚；</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4.税务机关应当将纳税人的纳税申报数据资料与生态环境主管部门交送的相关数据资料进行比对；</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机关发现纳税人的纳税申报数据资料异常或者纳税人未按照规定期限办理纳税申报的，可以提请生态环境主管部门进行复核，生态环境主管部门应当自收到税务机关的数据资料之日起十五日内向税务机关出具复核意见。税务机关应当按照生态环境主管部门复核的数据资料调整纳税人的应纳税额。</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三、部门间职责衔接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环境保护税由税务机关依照《中华人民共和国税收征收管理法》和《中华人民共和国环境保护税法》的有关规定征收管理。环境保护主管部门依照《中华人民共和国环境保护税法》和有关环境保护法律法规的规定负责对污染物的监测管理；</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2.县级以上地方人民政府应当建立税务机关、环境保护主管部门和其他相关单位分工协作工作机制，加强环境保护税征收管理，保障税款及时足额入库；</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3.环境保护主管部门和税务机关应当建立涉税信息共享和工作配合机制。</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（1）环境保护主管部门应当将排污单位的排污许可、污染物排放数据、环境违法和受行政处罚情况等环境保护相关信息，定期交送税务机关；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（2）税务机关应当将纳税人的纳税申报、税款入库、减免税额、欠缴税款以及风险疑点等环境保护税涉税信息，定期交送环境保护主管部门。</w:t>
            </w:r>
          </w:p>
          <w:p>
            <w:pPr>
              <w:widowControl/>
              <w:jc w:val="left"/>
              <w:textAlignment w:val="center"/>
              <w:rPr>
                <w:rFonts w:ascii="宋体" w:hAnsi="宋体" w:eastAsia="宋体" w:cs="宋体"/>
                <w:color w:val="000000"/>
                <w:sz w:val="24"/>
              </w:rPr>
            </w:pPr>
          </w:p>
        </w:tc>
        <w:tc>
          <w:tcPr>
            <w:tcW w:w="417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1.违反规定擅自改变税收征收管理范围和税款入库预算级次的；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2.违反法律、行政法规的规定提前征收、延缓征收或者摊派税款的；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3.违反法律、行政法规的规定擅自作出税收的开征、停征或者减税、免税、退税、补税以及其他同税收法律、行政法规相抵触的决定的；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5.利用职务上的便利，收受或者索取纳税人财物或者谋取其他不正当利益的；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6.滥用职权，故意刁难纳税人的；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7.未按照规定为纳税人、检举人保密的；</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8.法律、行政法规等规定的其他不履行或者不正确履行行政职责的情形。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00" w:hRule="atLeast"/>
        </w:trPr>
        <w:tc>
          <w:tcPr>
            <w:tcW w:w="892" w:type="dxa"/>
            <w:vMerge w:val="restart"/>
            <w:shd w:val="clear" w:color="auto" w:fill="auto"/>
            <w:tcMar>
              <w:top w:w="10" w:type="dxa"/>
              <w:left w:w="10" w:type="dxa"/>
              <w:right w:w="10" w:type="dxa"/>
            </w:tcMar>
            <w:vAlign w:val="center"/>
          </w:tcPr>
          <w:p>
            <w:pPr>
              <w:widowControl/>
              <w:jc w:val="center"/>
              <w:textAlignment w:val="center"/>
              <w:rPr>
                <w:rFonts w:ascii="宋体" w:hAnsi="宋体" w:eastAsia="宋体" w:cs="宋体"/>
                <w:sz w:val="24"/>
              </w:rPr>
            </w:pPr>
            <w:r>
              <w:rPr>
                <w:rFonts w:hint="eastAsia" w:ascii="宋体" w:hAnsi="宋体" w:eastAsia="宋体" w:cs="宋体"/>
                <w:color w:val="000000"/>
                <w:kern w:val="0"/>
                <w:sz w:val="24"/>
              </w:rPr>
              <w:t>1.16</w:t>
            </w:r>
          </w:p>
        </w:tc>
        <w:tc>
          <w:tcPr>
            <w:tcW w:w="1129" w:type="dxa"/>
            <w:vMerge w:val="restart"/>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环境保护税征收管理</w:t>
            </w:r>
          </w:p>
        </w:tc>
        <w:tc>
          <w:tcPr>
            <w:tcW w:w="111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1.16.2环境保护税减免</w:t>
            </w:r>
          </w:p>
        </w:tc>
        <w:tc>
          <w:tcPr>
            <w:tcW w:w="213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1.《中华人民共和国税收征收管理法》第三条、第五条、第三十三条。</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2.《中华人民共和国环境保护税法》第十二条、第十三条。</w:t>
            </w:r>
          </w:p>
        </w:tc>
        <w:tc>
          <w:tcPr>
            <w:tcW w:w="11313"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1.税务机关应当通过官方网站、办税服务场所等渠道公开减免事项、依据、程序、报送资料、救济渠道、服务指南、流程图等；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2.纳税人申报享受税收减免，无需报送附列资料的，税务机关应当依法办理，接收相关资料；需要纳税人补正有关材料、手续的，应当一次性告知需要补正的内容。</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1.税务机关应当将纳税人的纳税申报数据资料与生态环境主管部门交送的相关数据资料进行比对；</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发现纳税人的纳税申报数据资料异常或者纳税人未按照规定期限办理纳税申报的，可以提请生态环境主管部门进行复核，生态环境主管部门应当自收到税务机关的数据资料之日起十五日内向税务机关出具复核意见。税务机关应当按照生态环境主管部门复核的数据资料调整纳税人的应纳税额。</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三、部门间职责衔接</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税务机关应当通过涉税信息共享平台将纳税人的减免税额信息，定期交送生态环境主管部门。</w:t>
            </w:r>
          </w:p>
        </w:tc>
        <w:tc>
          <w:tcPr>
            <w:tcW w:w="417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1.违反法律、行政法规的规定，擅自作出减税、免税决定的；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2.违反法定程序为纳税人办理减税、免税手续的；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3.利用职务上的便利，收受或者索取纳税人财物或者谋取其他不正当利益的；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5.滥用职权，故意刁难纳税人的；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6.未按照规定为纳税人、检举人保密的；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0" w:hRule="atLeast"/>
        </w:trPr>
        <w:tc>
          <w:tcPr>
            <w:tcW w:w="892" w:type="dxa"/>
            <w:vMerge w:val="continue"/>
            <w:shd w:val="clear" w:color="auto" w:fill="auto"/>
            <w:tcMar>
              <w:top w:w="10" w:type="dxa"/>
              <w:left w:w="10" w:type="dxa"/>
              <w:right w:w="10" w:type="dxa"/>
            </w:tcMar>
            <w:vAlign w:val="center"/>
          </w:tcPr>
          <w:p>
            <w:pPr>
              <w:jc w:val="center"/>
              <w:rPr>
                <w:rFonts w:ascii="宋体" w:hAnsi="宋体" w:eastAsia="宋体" w:cs="宋体"/>
                <w:color w:val="000000"/>
                <w:sz w:val="24"/>
              </w:rPr>
            </w:pPr>
          </w:p>
        </w:tc>
        <w:tc>
          <w:tcPr>
            <w:tcW w:w="1129" w:type="dxa"/>
            <w:vMerge w:val="continue"/>
            <w:shd w:val="clear" w:color="auto" w:fill="auto"/>
            <w:tcMar>
              <w:top w:w="10" w:type="dxa"/>
              <w:left w:w="10" w:type="dxa"/>
              <w:right w:w="10" w:type="dxa"/>
            </w:tcMar>
            <w:vAlign w:val="center"/>
          </w:tcPr>
          <w:p>
            <w:pPr>
              <w:jc w:val="left"/>
              <w:rPr>
                <w:rFonts w:ascii="宋体" w:hAnsi="宋体" w:eastAsia="宋体" w:cs="宋体"/>
                <w:color w:val="000000"/>
                <w:sz w:val="24"/>
              </w:rPr>
            </w:pPr>
          </w:p>
        </w:tc>
        <w:tc>
          <w:tcPr>
            <w:tcW w:w="111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1.16.3环境保护税核定</w:t>
            </w:r>
          </w:p>
        </w:tc>
        <w:tc>
          <w:tcPr>
            <w:tcW w:w="213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1.《中华人民共和国税收征收管理法》第三十五条。</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2.《中华人民共和国环境保护税法》第十条、第二十一条。</w:t>
            </w:r>
          </w:p>
        </w:tc>
        <w:tc>
          <w:tcPr>
            <w:tcW w:w="11313"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1.税务机关应当通过官方网站、办税服务场所等渠道公开核定主体、权限、依据、程序、救济渠道、流程图等；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2.依照《中华人民共和国环境保护税法》第十条第四项的规定核定计算污染物排放量的，由税务机关会同生态环境主管部门核定污染物排放种类、数量和应纳税额。</w:t>
            </w:r>
          </w:p>
        </w:tc>
        <w:tc>
          <w:tcPr>
            <w:tcW w:w="417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1.违反规定核定应纳税额，导致纳税人税负水平明显不合理的；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3.利用职务上的便利，收受或者索取纳税人财物或谋取其他不正当利益的；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5.未按照规定为纳税人、扣缴义务人、检举人保密的；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0" w:hRule="atLeast"/>
        </w:trPr>
        <w:tc>
          <w:tcPr>
            <w:tcW w:w="89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1.17</w:t>
            </w:r>
          </w:p>
        </w:tc>
        <w:tc>
          <w:tcPr>
            <w:tcW w:w="1129"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个体工商户税收定期定额核定</w:t>
            </w:r>
          </w:p>
        </w:tc>
        <w:tc>
          <w:tcPr>
            <w:tcW w:w="111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p>
        </w:tc>
        <w:tc>
          <w:tcPr>
            <w:tcW w:w="213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1.《中华人民共和国税收征收管理法》第三十五条第一款。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2.《个体工商户税收定期定额征收管理办法》（国家税务总局令第16号公布，国家税务总局令第44号修改）第二条。</w:t>
            </w:r>
          </w:p>
        </w:tc>
        <w:tc>
          <w:tcPr>
            <w:tcW w:w="11313"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1.税务机关应当通过官方网站、办税服务场所等渠道公开核定主体、权限、依据、程序、救济渠道、流程图等；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纳税人按照主管税务机关规定的申报期限、申报内容向主管税务机关申报，填写有关申报文书，主管税务机关根据定期定额户自行申报情况，参考典型调查结果，采取《个体工商户税收定期定额征收管理办法》第六条规定的核定方法核定定额，并计算应纳税额；</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3.主管税务机关应当将核定定额的初步结果进行公示，公示期限为五个工作日；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4.主管税务机关根据公示意见结果修改定额，并将核定情况报经县以上税务机关审核批准后，填制《核定定额通知书》；</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5.主管税务机关应当将《核定定额通知书》送达定期定额户执行；</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6.主管税务机关将最终确定的定额和应纳税额情况在原公示范围内进行公布；</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7.税务机关停止定期定额户实行定期定额征收方式，应当书面通知定期定额户。</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定期定额户的经营额、所得额连续纳税期限超过或低于税务机关核定的定额，应当提请税务机关重新核定定额，税务机关应根据《个体工商户税收定期定额征收管理办法》规定的核定方法和程序重新核定定额。具体期限由省级税务机关确定；</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检查发现定期定额户在以前定额执行期发生的经营额、所得额超过定额，或者当期发生的经营额、所得额超过定额一定幅度而未向税务机关进行纳税申报及结清应纳税款的，税务机关应当追缴税款、加收滞纳金，并按照法律、行政法规规定予以处理。其经营额、所得额连续纳税期超过定额，税务机关应当按照《个体工商户税收定期定额征收管理办法》第十九条的规定重新核定其定额。</w:t>
            </w:r>
          </w:p>
          <w:p>
            <w:pPr>
              <w:widowControl/>
              <w:jc w:val="left"/>
              <w:textAlignment w:val="center"/>
              <w:rPr>
                <w:rFonts w:ascii="宋体" w:hAnsi="宋体" w:eastAsia="宋体" w:cs="宋体"/>
                <w:color w:val="000000"/>
                <w:sz w:val="24"/>
              </w:rPr>
            </w:pPr>
          </w:p>
        </w:tc>
        <w:tc>
          <w:tcPr>
            <w:tcW w:w="417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1.违反规定核定应纳税额、调整税收定额，导致纳税人税负水平明显不合理的；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2.利用职务上的便利，收受或者索取纳税人财物或谋取其他不正当利益的；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5.对控告、检举税收违法违纪行为的纳税人、扣缴义务人以及其他检举人进行打击报复的；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6.未按照规定为纳税人、扣缴义务人、检举人保密的；</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7.法律、行政法规等规定的其他不履行或者不正确履行行政职责的情形。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0" w:hRule="atLeast"/>
        </w:trPr>
        <w:tc>
          <w:tcPr>
            <w:tcW w:w="89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1.18</w:t>
            </w:r>
          </w:p>
        </w:tc>
        <w:tc>
          <w:tcPr>
            <w:tcW w:w="1129"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核定应纳税额</w:t>
            </w:r>
          </w:p>
        </w:tc>
        <w:tc>
          <w:tcPr>
            <w:tcW w:w="1114" w:type="dxa"/>
            <w:shd w:val="clear" w:color="auto" w:fill="auto"/>
            <w:tcMar>
              <w:top w:w="10" w:type="dxa"/>
              <w:left w:w="10" w:type="dxa"/>
              <w:right w:w="10" w:type="dxa"/>
            </w:tcMar>
            <w:vAlign w:val="center"/>
          </w:tcPr>
          <w:p>
            <w:pPr>
              <w:jc w:val="left"/>
              <w:rPr>
                <w:rFonts w:ascii="宋体" w:hAnsi="宋体" w:eastAsia="宋体" w:cs="宋体"/>
                <w:color w:val="000000"/>
                <w:sz w:val="24"/>
              </w:rPr>
            </w:pPr>
          </w:p>
        </w:tc>
        <w:tc>
          <w:tcPr>
            <w:tcW w:w="213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1.《中华人民共和国税收征收管理法》第三十五条、第三十七条。</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2.《中华人民共和国税收征收管理法实施细则》第四十七条。</w:t>
            </w:r>
          </w:p>
        </w:tc>
        <w:tc>
          <w:tcPr>
            <w:tcW w:w="11313"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1.税务机关应当通过官方网站、办税服务场所等渠道公开核定主体、权限、依据、程序、救济渠道、流程图等；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纳税人有税收征管法第三十五条或者第三十七条所列情形之一的，税务机关有权采用下列任何一种方法核定其应纳税额：参照当地同类行业或者类似行业中经营规模和收入水平相近的纳税人的税负水平核定；按照营业收入或者成本加合理的费用和利润的方法核定；按照耗用的原材料、燃料、动力等推算或者测算核定；按照其他合理方法核定。采用一种方法不足以正确核定应纳税额时，可以同时采用两种以上的方法核定；</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3.税务机关制作《税务事项通知书》或《税务处理决定书》，将相关文书送达纳税人。</w:t>
            </w:r>
          </w:p>
        </w:tc>
        <w:tc>
          <w:tcPr>
            <w:tcW w:w="417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1.违反规定核定应纳税额，导致纳税人税负水平明显不合理的；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3.利用职务上的便利，收受或者索取纳税人财物或谋取其他不正当利益的；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4.滥用职权，故意刁难纳税人的；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5.未按照规定为纳税人、扣缴义务人、检举人保密的；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6" w:hRule="atLeast"/>
        </w:trPr>
        <w:tc>
          <w:tcPr>
            <w:tcW w:w="89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1.19</w:t>
            </w:r>
          </w:p>
        </w:tc>
        <w:tc>
          <w:tcPr>
            <w:tcW w:w="1129"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税款追征追缴</w:t>
            </w:r>
          </w:p>
        </w:tc>
        <w:tc>
          <w:tcPr>
            <w:tcW w:w="1114" w:type="dxa"/>
            <w:shd w:val="clear" w:color="auto" w:fill="auto"/>
            <w:tcMar>
              <w:top w:w="10" w:type="dxa"/>
              <w:left w:w="10" w:type="dxa"/>
              <w:right w:w="10" w:type="dxa"/>
            </w:tcMar>
            <w:vAlign w:val="center"/>
          </w:tcPr>
          <w:p>
            <w:pPr>
              <w:jc w:val="left"/>
              <w:rPr>
                <w:rFonts w:ascii="宋体" w:hAnsi="宋体" w:eastAsia="宋体" w:cs="宋体"/>
                <w:color w:val="000000"/>
                <w:sz w:val="24"/>
              </w:rPr>
            </w:pPr>
          </w:p>
        </w:tc>
        <w:tc>
          <w:tcPr>
            <w:tcW w:w="213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1.《中华人民共和国税收征收管理法》第五十二条、第六十四条、第六十八条、第六十九条。</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2.《中华人民共和国税收征收管理法实施细则》第九十四条。</w:t>
            </w:r>
          </w:p>
        </w:tc>
        <w:tc>
          <w:tcPr>
            <w:tcW w:w="11313"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因税务机关的责任，致使纳税人、扣缴义务人未缴或者少缴税款的，税务机关在三年内可以要求纳税人、扣缴义务人补缴税款，但是不得加收滞纳金；因纳税人、扣缴义务人计算错误等失误，未缴或者少缴税款的，税务机关在三年内可以追征税款、滞纳金；有特殊情况的，追征期可以延长到五年；纳税人不进行纳税申报造成不缴或少缴应纳税款的，其追征期一般为三年，特殊情况可以延长至五年；对偷税、抗税、骗税的，税务机关追征其未缴或者少缴的税款、滞纳金或者所骗取的税款，不受追征期的限制；</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2.纳税人拒绝代扣、代收税款的，扣缴义务人应当向税务机关报告，由税务机关直接向纳税人追缴税款、滞纳金。纳税人拒不缴纳的，依照税收征管法第六十八条的规定执行；</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3.税务机关追征追缴税款、滞纳金，应当按规定出具《税务事项通知书》或《税务处理决定书》；</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4.纳税人、扣缴义务人在规定期限内不缴或者少缴应纳或者应解缴的税款，经税务机关责令限期缴纳，逾期仍未缴纳的，税务机关依照税收征管法第四十条的规定采取强制执行措施追缴其不缴或者少缴的税款；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5.税务机关征收税款应当开具完税凭证；</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6.税务机关应当按照国家规定的税款入库预算级次，将征收的税款缴入国库。</w:t>
            </w:r>
          </w:p>
        </w:tc>
        <w:tc>
          <w:tcPr>
            <w:tcW w:w="417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1.违反规定擅自改变税收征收管理范围和税款入库预算级次的；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3.利用职务上的便利，收受或者索取纳税人、扣缴义务人财物或者谋取其他不正当利益的；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4.滥用职权，故意刁难纳税人、扣缴义务人的；</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5.法律、行政法规等规定的其他不履行或者不正确履行行政职责的情形。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00" w:hRule="atLeast"/>
        </w:trPr>
        <w:tc>
          <w:tcPr>
            <w:tcW w:w="89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1.2</w:t>
            </w:r>
            <w:r>
              <w:rPr>
                <w:rFonts w:hint="eastAsia" w:ascii="宋体" w:hAnsi="宋体" w:eastAsia="宋体" w:cs="宋体"/>
                <w:color w:val="000000"/>
                <w:kern w:val="0"/>
                <w:sz w:val="24"/>
                <w:lang w:val="en-US" w:eastAsia="zh-CN"/>
              </w:rPr>
              <w:t>0</w:t>
            </w:r>
          </w:p>
        </w:tc>
        <w:tc>
          <w:tcPr>
            <w:tcW w:w="1129"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社保费征收</w:t>
            </w:r>
          </w:p>
        </w:tc>
        <w:tc>
          <w:tcPr>
            <w:tcW w:w="1114" w:type="dxa"/>
            <w:shd w:val="clear" w:color="auto" w:fill="auto"/>
            <w:tcMar>
              <w:top w:w="10" w:type="dxa"/>
              <w:left w:w="10" w:type="dxa"/>
              <w:right w:w="10" w:type="dxa"/>
            </w:tcMar>
            <w:vAlign w:val="center"/>
          </w:tcPr>
          <w:p>
            <w:pPr>
              <w:rPr>
                <w:rFonts w:ascii="宋体" w:hAnsi="宋体" w:eastAsia="宋体" w:cs="宋体"/>
                <w:color w:val="000000"/>
                <w:sz w:val="24"/>
              </w:rPr>
            </w:pPr>
            <w:r>
              <w:rPr>
                <w:rFonts w:hint="eastAsia" w:ascii="宋体" w:hAnsi="宋体" w:cs="宋体"/>
                <w:color w:val="000000"/>
                <w:kern w:val="0"/>
                <w:sz w:val="24"/>
              </w:rPr>
              <w:t>社会保险费征收</w:t>
            </w:r>
          </w:p>
        </w:tc>
        <w:tc>
          <w:tcPr>
            <w:tcW w:w="2137" w:type="dxa"/>
            <w:shd w:val="clear" w:color="auto" w:fill="auto"/>
            <w:tcMar>
              <w:top w:w="10" w:type="dxa"/>
              <w:left w:w="10" w:type="dxa"/>
              <w:right w:w="10" w:type="dxa"/>
            </w:tcMar>
            <w:vAlign w:val="center"/>
          </w:tcPr>
          <w:p>
            <w:pPr>
              <w:numPr>
                <w:ilvl w:val="0"/>
                <w:numId w:val="1"/>
              </w:numPr>
              <w:jc w:val="left"/>
              <w:rPr>
                <w:rFonts w:hint="eastAsia" w:ascii="宋体" w:hAnsi="宋体" w:cs="宋体"/>
                <w:bCs/>
                <w:color w:val="000000"/>
                <w:kern w:val="0"/>
                <w:sz w:val="24"/>
              </w:rPr>
            </w:pPr>
            <w:r>
              <w:rPr>
                <w:rFonts w:hint="eastAsia" w:ascii="宋体" w:hAnsi="宋体" w:cs="宋体"/>
                <w:bCs/>
                <w:color w:val="000000"/>
                <w:kern w:val="0"/>
                <w:sz w:val="24"/>
              </w:rPr>
              <w:t>《中华人民共和国社会保险法》第五十九条、第六十条、第八十六条。</w:t>
            </w:r>
          </w:p>
          <w:p>
            <w:pPr>
              <w:jc w:val="left"/>
              <w:rPr>
                <w:rFonts w:hint="eastAsia" w:ascii="宋体" w:hAnsi="宋体" w:cs="宋体"/>
                <w:bCs/>
                <w:color w:val="000000"/>
                <w:kern w:val="0"/>
                <w:sz w:val="24"/>
              </w:rPr>
            </w:pPr>
            <w:r>
              <w:rPr>
                <w:rFonts w:hint="eastAsia" w:ascii="宋体" w:hAnsi="宋体" w:cs="宋体"/>
                <w:bCs/>
                <w:color w:val="000000"/>
                <w:kern w:val="0"/>
                <w:sz w:val="24"/>
              </w:rPr>
              <w:t>2.《社会保险费征缴暂行条例》（中华人民共和国国务院令第259号）第六条</w:t>
            </w:r>
          </w:p>
          <w:p>
            <w:pPr>
              <w:rPr>
                <w:rFonts w:ascii="宋体" w:hAnsi="宋体" w:eastAsia="宋体" w:cs="宋体"/>
                <w:color w:val="000000"/>
                <w:sz w:val="24"/>
              </w:rPr>
            </w:pPr>
            <w:r>
              <w:rPr>
                <w:rFonts w:hint="eastAsia" w:ascii="宋体" w:hAnsi="宋体" w:cs="宋体"/>
                <w:bCs/>
                <w:color w:val="000000"/>
                <w:kern w:val="0"/>
                <w:sz w:val="24"/>
              </w:rPr>
              <w:t>3.《国家税务总局山西省税务局关于征收机关事业单位和城乡居民社会保险费的公告》（国家税务总局山西省税务局公告2018年第21号）</w:t>
            </w:r>
          </w:p>
        </w:tc>
        <w:tc>
          <w:tcPr>
            <w:tcW w:w="11313" w:type="dxa"/>
            <w:shd w:val="clear" w:color="auto" w:fill="auto"/>
            <w:tcMar>
              <w:top w:w="10" w:type="dxa"/>
              <w:left w:w="10" w:type="dxa"/>
              <w:right w:w="10" w:type="dxa"/>
            </w:tcMar>
            <w:vAlign w:val="center"/>
          </w:tcPr>
          <w:p>
            <w:pPr>
              <w:rPr>
                <w:bCs/>
                <w:color w:val="000000"/>
              </w:rPr>
            </w:pPr>
          </w:p>
          <w:p>
            <w:pPr>
              <w:widowControl/>
              <w:jc w:val="left"/>
              <w:textAlignment w:val="center"/>
              <w:rPr>
                <w:rFonts w:hint="eastAsia" w:ascii="宋体" w:hAnsi="宋体" w:cs="宋体"/>
                <w:bCs/>
                <w:color w:val="000000"/>
                <w:kern w:val="0"/>
                <w:sz w:val="24"/>
              </w:rPr>
            </w:pPr>
            <w:r>
              <w:rPr>
                <w:rFonts w:hint="eastAsia" w:ascii="宋体" w:hAnsi="宋体" w:cs="宋体"/>
                <w:bCs/>
                <w:color w:val="000000"/>
                <w:kern w:val="0"/>
                <w:sz w:val="24"/>
              </w:rPr>
              <w:t>一、相关程序和要求：</w:t>
            </w:r>
          </w:p>
          <w:p>
            <w:pPr>
              <w:widowControl/>
              <w:jc w:val="left"/>
              <w:textAlignment w:val="center"/>
              <w:rPr>
                <w:rFonts w:hint="eastAsia" w:ascii="宋体" w:hAnsi="宋体"/>
                <w:bCs/>
                <w:kern w:val="0"/>
                <w:sz w:val="24"/>
              </w:rPr>
            </w:pPr>
            <w:r>
              <w:rPr>
                <w:rFonts w:hint="eastAsia" w:ascii="宋体" w:hAnsi="宋体"/>
                <w:bCs/>
                <w:color w:val="000000"/>
                <w:kern w:val="0"/>
                <w:sz w:val="24"/>
              </w:rPr>
              <w:t>1.税务机关应当通过官方网站、办税服务场所等渠道公开征收主体、权限、依据、程序、报送资料、救济</w:t>
            </w:r>
            <w:r>
              <w:rPr>
                <w:rFonts w:hint="eastAsia" w:ascii="宋体" w:hAnsi="宋体"/>
                <w:bCs/>
                <w:kern w:val="0"/>
                <w:sz w:val="24"/>
              </w:rPr>
              <w:t>渠道、服务指南、流程图等；</w:t>
            </w:r>
          </w:p>
          <w:p>
            <w:pPr>
              <w:widowControl/>
              <w:jc w:val="left"/>
              <w:textAlignment w:val="center"/>
              <w:rPr>
                <w:rFonts w:hint="eastAsia" w:ascii="宋体" w:hAnsi="宋体"/>
                <w:bCs/>
                <w:kern w:val="0"/>
                <w:sz w:val="24"/>
              </w:rPr>
            </w:pPr>
            <w:r>
              <w:rPr>
                <w:rFonts w:hint="eastAsia" w:ascii="宋体" w:hAnsi="宋体"/>
                <w:bCs/>
                <w:kern w:val="0"/>
                <w:sz w:val="24"/>
              </w:rPr>
              <w:t>2.税务机关依据人社、医保管理部门核定数据，依法足额征收机关事业单位各项社会保险费、城乡居民基本养老保险和城乡居民基本医疗保险。</w:t>
            </w:r>
          </w:p>
          <w:p>
            <w:pPr>
              <w:widowControl/>
              <w:jc w:val="left"/>
              <w:textAlignment w:val="center"/>
              <w:rPr>
                <w:rFonts w:ascii="宋体" w:hAnsi="宋体" w:cs="宋体"/>
                <w:bCs/>
                <w:kern w:val="0"/>
                <w:sz w:val="24"/>
              </w:rPr>
            </w:pPr>
            <w:r>
              <w:rPr>
                <w:rFonts w:hint="eastAsia" w:ascii="宋体" w:hAnsi="宋体" w:cs="宋体"/>
                <w:bCs/>
                <w:kern w:val="0"/>
                <w:sz w:val="24"/>
              </w:rPr>
              <w:t>二、部门间职责衔接</w:t>
            </w:r>
          </w:p>
          <w:p>
            <w:pPr>
              <w:rPr>
                <w:rFonts w:ascii="宋体" w:hAnsi="宋体" w:eastAsia="宋体" w:cs="宋体"/>
                <w:color w:val="000000"/>
                <w:sz w:val="24"/>
              </w:rPr>
            </w:pPr>
            <w:r>
              <w:rPr>
                <w:rFonts w:hint="eastAsia" w:ascii="宋体" w:hAnsi="宋体" w:cs="宋体"/>
                <w:bCs/>
                <w:kern w:val="0"/>
                <w:sz w:val="24"/>
              </w:rPr>
              <w:t>社会保险费由税务机关负责征收，由当地人社、医保等社保部门核定管理，征缴信息通过信息共享平台互传。</w:t>
            </w:r>
          </w:p>
        </w:tc>
        <w:tc>
          <w:tcPr>
            <w:tcW w:w="4177" w:type="dxa"/>
            <w:shd w:val="clear" w:color="auto" w:fill="auto"/>
            <w:tcMar>
              <w:top w:w="10" w:type="dxa"/>
              <w:left w:w="10" w:type="dxa"/>
              <w:right w:w="10" w:type="dxa"/>
            </w:tcMar>
            <w:vAlign w:val="center"/>
          </w:tcPr>
          <w:p>
            <w:pPr>
              <w:rPr>
                <w:bCs/>
                <w:color w:val="000000"/>
                <w:sz w:val="24"/>
              </w:rPr>
            </w:pPr>
            <w:r>
              <w:rPr>
                <w:rFonts w:hint="eastAsia"/>
                <w:bCs/>
                <w:color w:val="000000"/>
                <w:sz w:val="24"/>
              </w:rPr>
              <w:t>因不履行或不正确履行行政职责，有下列情形的，税务机关及相关工作人员应承担相应责任：</w:t>
            </w:r>
          </w:p>
          <w:p>
            <w:pPr>
              <w:rPr>
                <w:bCs/>
                <w:color w:val="000000"/>
                <w:sz w:val="24"/>
              </w:rPr>
            </w:pPr>
          </w:p>
          <w:p>
            <w:pPr>
              <w:rPr>
                <w:bCs/>
                <w:color w:val="000000"/>
                <w:sz w:val="24"/>
              </w:rPr>
            </w:pPr>
            <w:r>
              <w:rPr>
                <w:rFonts w:hint="eastAsia"/>
                <w:bCs/>
                <w:color w:val="000000"/>
                <w:sz w:val="24"/>
              </w:rPr>
              <w:t>1.隐匿、转移、侵占、挪用社会保险费或者违规投资运营的；</w:t>
            </w:r>
          </w:p>
          <w:p>
            <w:pPr>
              <w:rPr>
                <w:bCs/>
                <w:color w:val="000000"/>
                <w:sz w:val="24"/>
              </w:rPr>
            </w:pPr>
            <w:r>
              <w:rPr>
                <w:rFonts w:hint="eastAsia"/>
                <w:bCs/>
                <w:color w:val="000000"/>
                <w:sz w:val="24"/>
              </w:rPr>
              <w:t>2.泄露用人单位和个人信息的；</w:t>
            </w:r>
          </w:p>
          <w:p>
            <w:pPr>
              <w:rPr>
                <w:bCs/>
                <w:color w:val="000000"/>
                <w:sz w:val="24"/>
              </w:rPr>
            </w:pPr>
            <w:r>
              <w:rPr>
                <w:rFonts w:hint="eastAsia"/>
                <w:bCs/>
                <w:color w:val="000000"/>
                <w:sz w:val="24"/>
              </w:rPr>
              <w:t>3.在社会保险费征收工作中滥用职权、玩忽职守、徇私舞弊的；</w:t>
            </w:r>
          </w:p>
          <w:p>
            <w:pPr>
              <w:rPr>
                <w:bCs/>
                <w:color w:val="000000"/>
                <w:sz w:val="24"/>
              </w:rPr>
            </w:pPr>
            <w:r>
              <w:rPr>
                <w:rFonts w:hint="eastAsia"/>
                <w:bCs/>
                <w:color w:val="000000"/>
                <w:sz w:val="24"/>
              </w:rPr>
              <w:t>4.有违反社会保险法律、法规的其他行为的。</w:t>
            </w:r>
          </w:p>
          <w:p>
            <w:pP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59" w:hRule="atLeast"/>
        </w:trPr>
        <w:tc>
          <w:tcPr>
            <w:tcW w:w="892" w:type="dxa"/>
            <w:vMerge w:val="restart"/>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1.21</w:t>
            </w:r>
          </w:p>
        </w:tc>
        <w:tc>
          <w:tcPr>
            <w:tcW w:w="1129" w:type="dxa"/>
            <w:vMerge w:val="restart"/>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非税收入征收</w:t>
            </w:r>
          </w:p>
        </w:tc>
        <w:tc>
          <w:tcPr>
            <w:tcW w:w="111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1.21.1教育费附加征收</w:t>
            </w:r>
          </w:p>
        </w:tc>
        <w:tc>
          <w:tcPr>
            <w:tcW w:w="213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1.《中华人民共和国教育法》第五十八条。</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2.《征收教育费附加的暂行规定》第五条第一款。</w:t>
            </w:r>
          </w:p>
        </w:tc>
        <w:tc>
          <w:tcPr>
            <w:tcW w:w="11313"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1.税务机关应当通过官方网站、办税服务场所等渠道公开征收主体、权限、依据、程序、报送资料、救济渠道、服务指南、流程图等；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2.税务机关依法足额征收教育费附加；</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3.教育费附加的征收管理，按照增值税、消费税的有关规定办理；与增值税、消费税同时缴纳。除国务院另有规定外，任何地区、部门不得擅自提高或者降低教育费附加率。</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二、部门间职责衔接</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教育费附加由税务机关负责征收，由教育行政部门统筹管理，主要用于实施义务教育。</w:t>
            </w:r>
          </w:p>
        </w:tc>
        <w:tc>
          <w:tcPr>
            <w:tcW w:w="417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由各征收机关根据有关追责依据编列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88" w:hRule="atLeast"/>
        </w:trPr>
        <w:tc>
          <w:tcPr>
            <w:tcW w:w="892" w:type="dxa"/>
            <w:vMerge w:val="continue"/>
            <w:shd w:val="clear" w:color="auto" w:fill="auto"/>
            <w:tcMar>
              <w:top w:w="10" w:type="dxa"/>
              <w:left w:w="10" w:type="dxa"/>
              <w:right w:w="10" w:type="dxa"/>
            </w:tcMar>
            <w:vAlign w:val="center"/>
          </w:tcPr>
          <w:p>
            <w:pPr>
              <w:jc w:val="center"/>
              <w:rPr>
                <w:rFonts w:ascii="宋体" w:hAnsi="宋体" w:eastAsia="宋体" w:cs="宋体"/>
                <w:color w:val="000000"/>
                <w:sz w:val="24"/>
              </w:rPr>
            </w:pPr>
          </w:p>
        </w:tc>
        <w:tc>
          <w:tcPr>
            <w:tcW w:w="1129" w:type="dxa"/>
            <w:vMerge w:val="continue"/>
            <w:shd w:val="clear" w:color="auto" w:fill="auto"/>
            <w:tcMar>
              <w:top w:w="10" w:type="dxa"/>
              <w:left w:w="10" w:type="dxa"/>
              <w:right w:w="10" w:type="dxa"/>
            </w:tcMar>
            <w:vAlign w:val="center"/>
          </w:tcPr>
          <w:p>
            <w:pPr>
              <w:jc w:val="left"/>
              <w:rPr>
                <w:rFonts w:ascii="宋体" w:hAnsi="宋体" w:eastAsia="宋体" w:cs="宋体"/>
                <w:color w:val="000000"/>
                <w:sz w:val="24"/>
              </w:rPr>
            </w:pPr>
          </w:p>
        </w:tc>
        <w:tc>
          <w:tcPr>
            <w:tcW w:w="111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1.21.2地方教育附加征收</w:t>
            </w:r>
          </w:p>
        </w:tc>
        <w:tc>
          <w:tcPr>
            <w:tcW w:w="2137" w:type="dxa"/>
            <w:shd w:val="clear" w:color="auto" w:fill="auto"/>
            <w:tcMar>
              <w:top w:w="10" w:type="dxa"/>
              <w:left w:w="10" w:type="dxa"/>
              <w:right w:w="10" w:type="dxa"/>
            </w:tcMar>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1.《中华人民共和国教育法》第五十八条。</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2.《财政部关于统一地方教育附加政策有关问题的通知》（财综〔2010〕98号）第一条。</w:t>
            </w:r>
          </w:p>
          <w:p>
            <w:pPr>
              <w:widowControl/>
              <w:jc w:val="left"/>
              <w:textAlignment w:val="center"/>
              <w:rPr>
                <w:rFonts w:ascii="宋体" w:hAnsi="宋体" w:eastAsia="宋体" w:cs="宋体"/>
                <w:color w:val="000000"/>
                <w:sz w:val="24"/>
              </w:rPr>
            </w:pPr>
            <w:r>
              <w:rPr>
                <w:rFonts w:hint="eastAsia" w:ascii="宋体" w:hAnsi="宋体" w:cs="宋体"/>
                <w:color w:val="000000"/>
                <w:kern w:val="0"/>
                <w:sz w:val="24"/>
              </w:rPr>
              <w:t>3.（由征收机关根据地方政府文件编列本机关征收权力的设定依据）</w:t>
            </w:r>
          </w:p>
        </w:tc>
        <w:tc>
          <w:tcPr>
            <w:tcW w:w="11313"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1.税务机关应当通过官方网站、办税服务场所等渠道公开征收主体、权限、依据、程序、报送资料、救济渠道、服务指南、流程图等；</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各省（区、市）人民政府应根据《中华人民共和国教育法》的相关规定和《财政部关于统一地方教育附加政策有关问题的通知》（财综〔2010〕98号）的要求，全面开征地方教育附加。地方教育附加统一按增值税、消费税实际缴纳税额的2%征收。</w:t>
            </w:r>
          </w:p>
        </w:tc>
        <w:tc>
          <w:tcPr>
            <w:tcW w:w="417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由各征收机关根据有关追责依据编列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0" w:hRule="atLeast"/>
        </w:trPr>
        <w:tc>
          <w:tcPr>
            <w:tcW w:w="892" w:type="dxa"/>
            <w:vMerge w:val="restart"/>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1.21</w:t>
            </w:r>
          </w:p>
        </w:tc>
        <w:tc>
          <w:tcPr>
            <w:tcW w:w="1129" w:type="dxa"/>
            <w:vMerge w:val="restart"/>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非税收入征收</w:t>
            </w:r>
          </w:p>
        </w:tc>
        <w:tc>
          <w:tcPr>
            <w:tcW w:w="111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1.21.3残疾人就业保障金征收</w:t>
            </w:r>
          </w:p>
        </w:tc>
        <w:tc>
          <w:tcPr>
            <w:tcW w:w="2137" w:type="dxa"/>
            <w:shd w:val="clear" w:color="auto" w:fill="auto"/>
            <w:tcMar>
              <w:top w:w="10" w:type="dxa"/>
              <w:left w:w="10" w:type="dxa"/>
              <w:right w:w="10" w:type="dxa"/>
            </w:tcMar>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1.《残疾人就业条例》第十六条第一款。</w:t>
            </w:r>
          </w:p>
          <w:p>
            <w:pPr>
              <w:widowControl/>
              <w:jc w:val="left"/>
              <w:textAlignment w:val="center"/>
              <w:rPr>
                <w:rFonts w:ascii="宋体" w:hAnsi="宋体" w:eastAsia="宋体" w:cs="宋体"/>
                <w:color w:val="000000"/>
                <w:sz w:val="24"/>
              </w:rPr>
            </w:pPr>
            <w:r>
              <w:rPr>
                <w:rFonts w:hint="eastAsia" w:ascii="宋体" w:hAnsi="宋体" w:cs="宋体"/>
                <w:color w:val="000000"/>
                <w:kern w:val="0"/>
                <w:sz w:val="24"/>
              </w:rPr>
              <w:t>2.《残疾人就业保障金征收使用管理办法》（财税〔2015〕72号印发）第九条第一款。</w:t>
            </w:r>
          </w:p>
        </w:tc>
        <w:tc>
          <w:tcPr>
            <w:tcW w:w="11313"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1.税务机关应当通过官方网站、办税服务场所等渠道公开征收主体、权限、依据、程序、报送资料、救济渠道、服务指南、流程图等；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2.保障金由用人单位所在地的税务机关负责征收。有关省、自治区、直辖市对保障金征收机关另有规定的，按其规定执行；</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3.税务机关征收保障金时，应当向用人单位开具省级财政部门统一印制的票据或税收票证；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4.税务机关应积极采取财税库银税收收入电子缴库横向联网方式征缴保障金；</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5.税务机关应当严格按规定的范围、标准和时限要求征收保障金，确保保障金及时、足额征缴到位；</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6.税务机关应当定期向社会公布本地区用人单位缴纳保障金情况。</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1.税务机关应当定期对用人单位进行检查，发现用人单位申报不实、少缴纳保障金的，税务机关应当催报并追缴保障金；</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2.用人单位弄虚作假，虚报安排残疾人就业人数，骗取集中使用残疾人的用人单位享受的税收优惠待遇的，由税务机关依法处理。</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三、部门间职责衔接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残疾人就业服务机构应当配合保障金征收机关做好保障金征收工作。残疾人就业服务机构对用人单位申报本单位上年安排的残疾人就业人数进行审核后，确定用人单位实际安排的残疾人就业人数，并及时提供给保障金征收机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2.保障金的征收、使用和管理应当接受财政部门的监督检查和审计机关的审计监督；</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3.用人单位未按规定缴纳保障金的，由保障金征收机关提交财政部门，由财政部门予以警告，责令限期缴纳；逾期仍不缴纳的，除补缴欠缴数额外，还应当自欠缴之日起，按日加收5‰的滞纳金。滞纳金按照保障金入库预算级次缴入国库。</w:t>
            </w:r>
          </w:p>
        </w:tc>
        <w:tc>
          <w:tcPr>
            <w:tcW w:w="417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1.擅自减免保障金或者改变保障金征收范围、对象和标准的；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2.隐瞒、坐支应当上缴的保障金的；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3.不按照规定的预算级次、预算科目将保障金缴入国库的；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4.在保障金征收和使用管理工作中滥用职权、玩忽职守、徇私舞弊的；</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5.法律、行政法规等规定的其他不履行或者不正确履行行政职责的情形。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0" w:hRule="atLeast"/>
        </w:trPr>
        <w:tc>
          <w:tcPr>
            <w:tcW w:w="892" w:type="dxa"/>
            <w:vMerge w:val="continue"/>
            <w:shd w:val="clear" w:color="auto" w:fill="auto"/>
            <w:tcMar>
              <w:top w:w="10" w:type="dxa"/>
              <w:left w:w="10" w:type="dxa"/>
              <w:right w:w="10" w:type="dxa"/>
            </w:tcMar>
            <w:vAlign w:val="center"/>
          </w:tcPr>
          <w:p>
            <w:pPr>
              <w:jc w:val="center"/>
              <w:rPr>
                <w:rFonts w:ascii="宋体" w:hAnsi="宋体" w:eastAsia="宋体" w:cs="宋体"/>
                <w:color w:val="000000"/>
                <w:sz w:val="24"/>
              </w:rPr>
            </w:pPr>
          </w:p>
        </w:tc>
        <w:tc>
          <w:tcPr>
            <w:tcW w:w="1129" w:type="dxa"/>
            <w:vMerge w:val="continue"/>
            <w:shd w:val="clear" w:color="auto" w:fill="auto"/>
            <w:tcMar>
              <w:top w:w="10" w:type="dxa"/>
              <w:left w:w="10" w:type="dxa"/>
              <w:right w:w="10" w:type="dxa"/>
            </w:tcMar>
            <w:vAlign w:val="center"/>
          </w:tcPr>
          <w:p>
            <w:pPr>
              <w:jc w:val="left"/>
              <w:rPr>
                <w:rFonts w:ascii="宋体" w:hAnsi="宋体" w:eastAsia="宋体" w:cs="宋体"/>
                <w:color w:val="000000"/>
                <w:sz w:val="24"/>
              </w:rPr>
            </w:pPr>
          </w:p>
        </w:tc>
        <w:tc>
          <w:tcPr>
            <w:tcW w:w="111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1.21.4文化事业建设费征收</w:t>
            </w:r>
          </w:p>
        </w:tc>
        <w:tc>
          <w:tcPr>
            <w:tcW w:w="213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1.《国务院关于进一步完善文化经济政策的若干规定》（国发〔1996〕37号）第一条第二项。</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2.《国务院关于支持文化事业发展若干经济政策的通知》（国发〔2000〕41号）第一条第二项。</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3.《财政部 国家税务总局关于营业税改征增值税试点有关文化事业建设费政策及征收管理问题的通知》（财税〔2016〕25号）第八条。</w:t>
            </w:r>
          </w:p>
        </w:tc>
        <w:tc>
          <w:tcPr>
            <w:tcW w:w="11313"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1.税务机关应当通过官方网站、办税服务场所等渠道公开征收主体、权限、依据、程序、报送资料、救济渠道、服务指南、流程图等；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2.文化事业建设费由税务机关在征收娱乐业、广告业增值税时一并征收；</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3.营改增后的文化事业建设费，由税务局征收。</w:t>
            </w:r>
          </w:p>
        </w:tc>
        <w:tc>
          <w:tcPr>
            <w:tcW w:w="417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由各征收机关根据有关追责依据编列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51" w:hRule="atLeast"/>
        </w:trPr>
        <w:tc>
          <w:tcPr>
            <w:tcW w:w="89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1.21</w:t>
            </w:r>
          </w:p>
        </w:tc>
        <w:tc>
          <w:tcPr>
            <w:tcW w:w="1129"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非税收入征收</w:t>
            </w:r>
          </w:p>
        </w:tc>
        <w:tc>
          <w:tcPr>
            <w:tcW w:w="1114"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1.21.5废弃电器电子产品处理基金征收</w:t>
            </w:r>
          </w:p>
        </w:tc>
        <w:tc>
          <w:tcPr>
            <w:tcW w:w="2137" w:type="dxa"/>
            <w:shd w:val="clear" w:color="auto" w:fill="auto"/>
            <w:tcMar>
              <w:top w:w="10" w:type="dxa"/>
              <w:left w:w="10" w:type="dxa"/>
              <w:right w:w="10" w:type="dxa"/>
            </w:tcMar>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1.《废弃电器电子产品回收处理管理条例》第七条第二款。</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2.《废弃电器电子产品处理基金征收使用管理办法》（财综〔2012〕34号印发）第八条。</w:t>
            </w:r>
          </w:p>
          <w:p>
            <w:pPr>
              <w:widowControl/>
              <w:jc w:val="left"/>
              <w:textAlignment w:val="center"/>
              <w:rPr>
                <w:rFonts w:ascii="宋体" w:hAnsi="宋体" w:eastAsia="宋体" w:cs="宋体"/>
                <w:color w:val="000000"/>
                <w:sz w:val="24"/>
              </w:rPr>
            </w:pPr>
            <w:r>
              <w:rPr>
                <w:rFonts w:hint="eastAsia" w:ascii="宋体" w:hAnsi="宋体" w:cs="宋体"/>
                <w:color w:val="000000"/>
                <w:kern w:val="0"/>
                <w:sz w:val="24"/>
              </w:rPr>
              <w:t>3.《废弃电器电子产品处理基金征收管理规定》（国家税务总局公告2012年第41号发布，国家税务总局公告2015年第62号、2018年第31号修改）第四条。</w:t>
            </w:r>
          </w:p>
        </w:tc>
        <w:tc>
          <w:tcPr>
            <w:tcW w:w="11313"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1.税务机关应当通过官方网站、办税服务场所等渠道公开征收主体、权限、依据、程序、报送资料、救济渠道、服务指南、流程图等；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2.税务局对电器电子产品生产者征收基金，适用税收征收管理的规定；</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3.税务机关征收基金应使用税收票证。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基金缴纳义务人违反基金征收管理规定的，税务机关比照税收违法行为予以行政处罚。</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三、部门间职责衔接</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电器电子产品生产者应缴纳的基金，由税务局负责征收。进口电器电子产品的收货人或者其代理人应缴纳的基金，由海关负责征收。</w:t>
            </w:r>
          </w:p>
        </w:tc>
        <w:tc>
          <w:tcPr>
            <w:tcW w:w="417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1.未经国务院批准或者授权，擅自减免基金或者改变基金征收范围、对象和标准的；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2.在基金征收和使用管理工作中滥用职权、玩忽职守、徇私舞弊，构成犯罪的，依法追究刑事责任；尚不构成犯罪的，依法给予处分；</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3.法律、行政法规等规定的其他不履行或者不正确履行行政职责的情形。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51" w:hRule="atLeast"/>
        </w:trPr>
        <w:tc>
          <w:tcPr>
            <w:tcW w:w="892" w:type="dxa"/>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rPr>
            </w:pPr>
          </w:p>
        </w:tc>
        <w:tc>
          <w:tcPr>
            <w:tcW w:w="1129" w:type="dxa"/>
            <w:shd w:val="clear" w:color="auto" w:fill="auto"/>
            <w:tcMar>
              <w:top w:w="10" w:type="dxa"/>
              <w:left w:w="10" w:type="dxa"/>
              <w:right w:w="10" w:type="dxa"/>
            </w:tcMar>
            <w:vAlign w:val="center"/>
          </w:tcPr>
          <w:p>
            <w:pPr>
              <w:widowControl/>
              <w:jc w:val="left"/>
              <w:textAlignment w:val="center"/>
              <w:rPr>
                <w:rFonts w:hint="eastAsia" w:ascii="宋体" w:hAnsi="宋体" w:eastAsia="宋体" w:cs="宋体"/>
                <w:color w:val="000000"/>
                <w:kern w:val="0"/>
                <w:sz w:val="24"/>
              </w:rPr>
            </w:pPr>
          </w:p>
        </w:tc>
        <w:tc>
          <w:tcPr>
            <w:tcW w:w="1114" w:type="dxa"/>
            <w:shd w:val="clear" w:color="auto" w:fill="auto"/>
            <w:tcMar>
              <w:top w:w="10" w:type="dxa"/>
              <w:left w:w="10" w:type="dxa"/>
              <w:right w:w="10" w:type="dxa"/>
            </w:tcMar>
            <w:vAlign w:val="center"/>
          </w:tcPr>
          <w:p>
            <w:pPr>
              <w:widowControl/>
              <w:jc w:val="left"/>
              <w:textAlignment w:val="center"/>
              <w:rPr>
                <w:rFonts w:hint="eastAsia" w:ascii="宋体" w:hAnsi="宋体" w:eastAsia="宋体" w:cs="宋体"/>
                <w:color w:val="000000"/>
                <w:kern w:val="0"/>
                <w:sz w:val="24"/>
              </w:rPr>
            </w:pPr>
            <w:r>
              <w:rPr>
                <w:rFonts w:hint="eastAsia" w:ascii="宋体" w:hAnsi="宋体" w:cs="宋体"/>
                <w:color w:val="000000"/>
                <w:kern w:val="0"/>
                <w:sz w:val="24"/>
              </w:rPr>
              <w:t>1</w:t>
            </w:r>
            <w:r>
              <w:rPr>
                <w:rFonts w:hint="eastAsia" w:ascii="宋体" w:hAnsi="宋体" w:cs="宋体"/>
                <w:color w:val="000000"/>
                <w:kern w:val="0"/>
                <w:sz w:val="24"/>
                <w:lang w:val="en-US" w:eastAsia="zh-CN"/>
              </w:rPr>
              <w:t>.21.6</w:t>
            </w:r>
            <w:r>
              <w:rPr>
                <w:rFonts w:hint="eastAsia" w:ascii="宋体" w:hAnsi="宋体" w:cs="宋体"/>
                <w:color w:val="000000"/>
                <w:kern w:val="0"/>
                <w:sz w:val="24"/>
              </w:rPr>
              <w:t>国家重大水利工程建设基金征收</w:t>
            </w:r>
          </w:p>
        </w:tc>
        <w:tc>
          <w:tcPr>
            <w:tcW w:w="2137" w:type="dxa"/>
            <w:shd w:val="clear" w:color="auto" w:fill="auto"/>
            <w:tcMar>
              <w:top w:w="10" w:type="dxa"/>
              <w:left w:w="10" w:type="dxa"/>
              <w:right w:w="10" w:type="dxa"/>
            </w:tcMar>
            <w:vAlign w:val="center"/>
          </w:tcPr>
          <w:p>
            <w:pPr>
              <w:widowControl/>
              <w:jc w:val="left"/>
              <w:textAlignment w:val="center"/>
              <w:rPr>
                <w:rFonts w:hint="eastAsia" w:ascii="宋体" w:hAnsi="宋体" w:cs="宋体"/>
                <w:color w:val="000000"/>
                <w:kern w:val="0"/>
                <w:sz w:val="24"/>
              </w:rPr>
            </w:pPr>
            <w:r>
              <w:rPr>
                <w:rFonts w:hint="eastAsia" w:ascii="宋体" w:hAnsi="宋体" w:cs="宋体"/>
                <w:color w:val="000000"/>
                <w:kern w:val="0"/>
                <w:sz w:val="24"/>
              </w:rPr>
              <w:t>1.《国家重大水利工程建设基金征收使用管理暂行办法》（财综〔2009〕90号）第八条、第十四条。</w:t>
            </w:r>
          </w:p>
          <w:p>
            <w:pPr>
              <w:widowControl/>
              <w:jc w:val="left"/>
              <w:textAlignment w:val="center"/>
              <w:rPr>
                <w:rFonts w:hint="eastAsia" w:ascii="宋体" w:hAnsi="宋体" w:cs="宋体"/>
                <w:color w:val="000000"/>
                <w:kern w:val="0"/>
                <w:sz w:val="24"/>
              </w:rPr>
            </w:pPr>
            <w:r>
              <w:rPr>
                <w:rFonts w:hint="eastAsia" w:ascii="宋体" w:hAnsi="宋体" w:cs="宋体"/>
                <w:color w:val="000000"/>
                <w:kern w:val="0"/>
                <w:sz w:val="24"/>
              </w:rPr>
              <w:t>2.《财政部关于国家重大水利工程建设基金、水利建设基金划转税务部门征收的通知》（财税〔2020〕9号）第一条、第三条。</w:t>
            </w:r>
          </w:p>
          <w:p>
            <w:pPr>
              <w:widowControl/>
              <w:jc w:val="left"/>
              <w:textAlignment w:val="center"/>
              <w:rPr>
                <w:rFonts w:hint="eastAsia" w:ascii="宋体" w:hAnsi="宋体" w:cs="宋体"/>
                <w:color w:val="000000"/>
                <w:kern w:val="0"/>
                <w:sz w:val="24"/>
              </w:rPr>
            </w:pPr>
          </w:p>
        </w:tc>
        <w:tc>
          <w:tcPr>
            <w:tcW w:w="11313" w:type="dxa"/>
            <w:shd w:val="clear" w:color="auto" w:fill="auto"/>
            <w:tcMar>
              <w:top w:w="10" w:type="dxa"/>
              <w:left w:w="10" w:type="dxa"/>
              <w:right w:w="10" w:type="dxa"/>
            </w:tcMar>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一、相关程序和要求</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1.税务机关应当通过官方网站、办税服务场所等渠道公开征收主体、权限、依据、程序、报送资料、救济渠道、服务指南、流程图等；</w:t>
            </w:r>
          </w:p>
          <w:p>
            <w:pPr>
              <w:widowControl/>
              <w:jc w:val="left"/>
              <w:textAlignment w:val="center"/>
              <w:rPr>
                <w:rFonts w:hint="eastAsia" w:ascii="宋体" w:hAnsi="宋体" w:cs="宋体"/>
                <w:color w:val="000000"/>
                <w:kern w:val="0"/>
                <w:sz w:val="24"/>
              </w:rPr>
            </w:pPr>
            <w:r>
              <w:rPr>
                <w:rFonts w:hint="eastAsia" w:ascii="宋体" w:hAnsi="宋体" w:cs="宋体"/>
                <w:color w:val="000000"/>
                <w:kern w:val="0"/>
                <w:sz w:val="24"/>
              </w:rPr>
              <w:t>2.由缴费人和代征单位按照规定的期限和程序，向税务部门申报和缴纳；</w:t>
            </w:r>
          </w:p>
          <w:p>
            <w:pPr>
              <w:widowControl/>
              <w:jc w:val="left"/>
              <w:textAlignment w:val="center"/>
              <w:rPr>
                <w:rFonts w:hint="eastAsia" w:ascii="宋体" w:hAnsi="宋体" w:cs="宋体"/>
                <w:color w:val="000000"/>
                <w:kern w:val="0"/>
                <w:sz w:val="24"/>
              </w:rPr>
            </w:pPr>
            <w:r>
              <w:rPr>
                <w:rFonts w:hint="eastAsia" w:ascii="宋体" w:hAnsi="宋体" w:cs="宋体"/>
                <w:color w:val="000000"/>
                <w:kern w:val="0"/>
                <w:sz w:val="24"/>
              </w:rPr>
              <w:t>3.税务部门应当按照非税收入国库集中收缴等有关规定，依法依规开展收入征管工作，确保基金收入及时足额缴库。</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二、事中事后监管措施</w:t>
            </w:r>
          </w:p>
          <w:p>
            <w:pPr>
              <w:widowControl/>
              <w:jc w:val="left"/>
              <w:textAlignment w:val="center"/>
              <w:rPr>
                <w:rFonts w:hint="eastAsia" w:ascii="宋体" w:hAnsi="宋体" w:eastAsia="宋体" w:cs="宋体"/>
                <w:color w:val="000000"/>
                <w:kern w:val="0"/>
                <w:sz w:val="24"/>
              </w:rPr>
            </w:pPr>
            <w:r>
              <w:rPr>
                <w:rFonts w:hint="eastAsia" w:ascii="宋体" w:hAnsi="宋体" w:cs="宋体"/>
                <w:color w:val="000000"/>
                <w:kern w:val="0"/>
                <w:sz w:val="24"/>
              </w:rPr>
              <w:t>缴费人和代征单位应及时足额上缴重大水利基金，不得拖延缴纳，如逾期不缴纳的，税务部门应责令其限期缴纳，并从滞纳之日起按日加收滞纳部分2‰的滞纳金。</w:t>
            </w:r>
          </w:p>
        </w:tc>
        <w:tc>
          <w:tcPr>
            <w:tcW w:w="4177" w:type="dxa"/>
            <w:shd w:val="clear" w:color="auto" w:fill="auto"/>
            <w:tcMar>
              <w:top w:w="10" w:type="dxa"/>
              <w:left w:w="10" w:type="dxa"/>
              <w:right w:w="10"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税务机关及其工作人员履行行政职责存在以下情形的，应当承担相应责任：</w:t>
            </w:r>
          </w:p>
          <w:p>
            <w:pPr>
              <w:widowControl/>
              <w:jc w:val="left"/>
              <w:textAlignment w:val="center"/>
              <w:rPr>
                <w:rFonts w:ascii="宋体" w:hAnsi="宋体" w:cs="宋体"/>
                <w:kern w:val="0"/>
                <w:sz w:val="24"/>
              </w:rPr>
            </w:pPr>
            <w:r>
              <w:rPr>
                <w:rFonts w:hint="eastAsia" w:ascii="宋体" w:hAnsi="宋体" w:cs="宋体"/>
                <w:kern w:val="0"/>
                <w:sz w:val="24"/>
              </w:rPr>
              <w:t>1.在征收和使用管理工作中滥用职权、玩忽职守、徇私舞弊，构成犯罪的，依法追究刑事责任；尚不构成犯罪的，依法给予处分；</w:t>
            </w:r>
          </w:p>
          <w:p>
            <w:pPr>
              <w:widowControl/>
              <w:jc w:val="left"/>
              <w:textAlignment w:val="center"/>
              <w:rPr>
                <w:rFonts w:hint="eastAsia" w:ascii="宋体" w:hAnsi="宋体" w:eastAsia="宋体" w:cs="宋体"/>
                <w:color w:val="000000"/>
                <w:kern w:val="0"/>
                <w:sz w:val="24"/>
              </w:rPr>
            </w:pPr>
            <w:r>
              <w:rPr>
                <w:rFonts w:hint="eastAsia" w:ascii="宋体" w:hAnsi="宋体" w:cs="宋体"/>
                <w:kern w:val="0"/>
                <w:sz w:val="24"/>
              </w:rPr>
              <w:t>2.法律、行政法规等规定的其他不履行或者不正确履行行政职责的情形。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51" w:hRule="atLeast"/>
        </w:trPr>
        <w:tc>
          <w:tcPr>
            <w:tcW w:w="892" w:type="dxa"/>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rPr>
            </w:pPr>
          </w:p>
        </w:tc>
        <w:tc>
          <w:tcPr>
            <w:tcW w:w="1129" w:type="dxa"/>
            <w:shd w:val="clear" w:color="auto" w:fill="auto"/>
            <w:tcMar>
              <w:top w:w="10" w:type="dxa"/>
              <w:left w:w="10" w:type="dxa"/>
              <w:right w:w="10" w:type="dxa"/>
            </w:tcMar>
            <w:vAlign w:val="center"/>
          </w:tcPr>
          <w:p>
            <w:pPr>
              <w:widowControl/>
              <w:jc w:val="left"/>
              <w:textAlignment w:val="center"/>
              <w:rPr>
                <w:rFonts w:hint="eastAsia" w:ascii="宋体" w:hAnsi="宋体" w:eastAsia="宋体" w:cs="宋体"/>
                <w:color w:val="000000"/>
                <w:kern w:val="0"/>
                <w:sz w:val="24"/>
              </w:rPr>
            </w:pPr>
          </w:p>
        </w:tc>
        <w:tc>
          <w:tcPr>
            <w:tcW w:w="1114" w:type="dxa"/>
            <w:shd w:val="clear" w:color="auto" w:fill="auto"/>
            <w:tcMar>
              <w:top w:w="10" w:type="dxa"/>
              <w:left w:w="10" w:type="dxa"/>
              <w:right w:w="10" w:type="dxa"/>
            </w:tcMar>
            <w:vAlign w:val="center"/>
          </w:tcPr>
          <w:p>
            <w:pPr>
              <w:widowControl/>
              <w:jc w:val="left"/>
              <w:textAlignment w:val="center"/>
              <w:rPr>
                <w:rFonts w:hint="eastAsia" w:ascii="宋体" w:hAnsi="宋体" w:cs="宋体"/>
                <w:color w:val="000000"/>
                <w:kern w:val="0"/>
                <w:sz w:val="24"/>
              </w:rPr>
            </w:pPr>
            <w:r>
              <w:rPr>
                <w:rFonts w:hint="eastAsia" w:ascii="宋体" w:hAnsi="宋体" w:cs="宋体"/>
                <w:color w:val="000000"/>
                <w:kern w:val="0"/>
                <w:sz w:val="24"/>
              </w:rPr>
              <w:t>1.</w:t>
            </w:r>
            <w:r>
              <w:rPr>
                <w:rFonts w:hint="eastAsia" w:ascii="宋体" w:hAnsi="宋体" w:cs="宋体"/>
                <w:color w:val="000000"/>
                <w:kern w:val="0"/>
                <w:sz w:val="24"/>
                <w:lang w:val="en-US" w:eastAsia="zh-CN"/>
              </w:rPr>
              <w:t>21.7</w:t>
            </w:r>
            <w:r>
              <w:rPr>
                <w:rFonts w:hint="eastAsia" w:ascii="宋体" w:hAnsi="宋体" w:cs="宋体"/>
                <w:color w:val="000000"/>
                <w:kern w:val="0"/>
                <w:sz w:val="24"/>
              </w:rPr>
              <w:t>行政单位、参公管理事业单位国有资产出租、出借收入征收</w:t>
            </w:r>
          </w:p>
        </w:tc>
        <w:tc>
          <w:tcPr>
            <w:tcW w:w="2137" w:type="dxa"/>
            <w:shd w:val="clear" w:color="auto" w:fill="auto"/>
            <w:tcMar>
              <w:top w:w="10" w:type="dxa"/>
              <w:left w:w="10" w:type="dxa"/>
              <w:right w:w="10" w:type="dxa"/>
            </w:tcMar>
            <w:vAlign w:val="center"/>
          </w:tcPr>
          <w:p>
            <w:pPr>
              <w:widowControl/>
              <w:jc w:val="left"/>
              <w:textAlignment w:val="center"/>
              <w:rPr>
                <w:rFonts w:hint="eastAsia" w:ascii="宋体" w:hAnsi="宋体" w:cs="宋体"/>
                <w:color w:val="000000"/>
                <w:kern w:val="0"/>
                <w:sz w:val="24"/>
              </w:rPr>
            </w:pPr>
            <w:r>
              <w:rPr>
                <w:rFonts w:hint="eastAsia" w:ascii="宋体" w:hAnsi="宋体" w:cs="宋体"/>
                <w:color w:val="000000"/>
                <w:kern w:val="0"/>
                <w:sz w:val="24"/>
              </w:rPr>
              <w:t>1.《行政单位国有资产管理暂行办法》（财政部令第35号公布）第二十四条、第二十五条。</w:t>
            </w:r>
          </w:p>
          <w:p>
            <w:pPr>
              <w:widowControl/>
              <w:jc w:val="left"/>
              <w:textAlignment w:val="center"/>
              <w:rPr>
                <w:rFonts w:hint="eastAsia" w:ascii="宋体" w:hAnsi="宋体" w:cs="宋体"/>
                <w:color w:val="000000"/>
                <w:kern w:val="0"/>
                <w:sz w:val="24"/>
              </w:rPr>
            </w:pPr>
            <w:r>
              <w:rPr>
                <w:rFonts w:hint="eastAsia" w:ascii="宋体" w:hAnsi="宋体" w:cs="宋体"/>
                <w:color w:val="000000"/>
                <w:kern w:val="0"/>
                <w:sz w:val="24"/>
              </w:rPr>
              <w:t>2.《国家税务总局山西省税务局、山西省财政厅关于行政单位、参公管理事业单位国有资产出租、出借收入征管职责划转有关工作的通知》（晋税函〔2018〕144号）第一条。</w:t>
            </w:r>
          </w:p>
          <w:p>
            <w:pPr>
              <w:widowControl/>
              <w:jc w:val="left"/>
              <w:textAlignment w:val="center"/>
              <w:rPr>
                <w:rFonts w:ascii="宋体" w:hAnsi="宋体" w:cs="宋体"/>
                <w:color w:val="000000"/>
                <w:kern w:val="0"/>
                <w:sz w:val="24"/>
              </w:rPr>
            </w:pPr>
          </w:p>
          <w:p>
            <w:pPr>
              <w:widowControl/>
              <w:jc w:val="left"/>
              <w:textAlignment w:val="center"/>
              <w:rPr>
                <w:rFonts w:hint="eastAsia" w:ascii="宋体" w:hAnsi="宋体" w:cs="宋体"/>
                <w:color w:val="000000"/>
                <w:kern w:val="0"/>
                <w:sz w:val="24"/>
              </w:rPr>
            </w:pPr>
          </w:p>
        </w:tc>
        <w:tc>
          <w:tcPr>
            <w:tcW w:w="11313" w:type="dxa"/>
            <w:shd w:val="clear" w:color="auto" w:fill="auto"/>
            <w:tcMar>
              <w:top w:w="10" w:type="dxa"/>
              <w:left w:w="10" w:type="dxa"/>
              <w:right w:w="10" w:type="dxa"/>
            </w:tcMar>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相关程序和要求</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1.税务机关应当通过官方网站、办税服务场所等渠道公开征收主体、权限、依据、程序、报送资料、救济渠道、服务指南、流程图等；</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2.行政单位、参公管理事业单位国有资产出租、出借收入由出租方向承租方收取后，向税务部门按次申报，先税后费、同步缴纳。</w:t>
            </w:r>
          </w:p>
          <w:p>
            <w:pPr>
              <w:widowControl/>
              <w:jc w:val="left"/>
              <w:textAlignment w:val="center"/>
              <w:rPr>
                <w:rFonts w:hint="eastAsia" w:ascii="宋体" w:hAnsi="宋体" w:cs="宋体"/>
                <w:color w:val="000000"/>
                <w:kern w:val="0"/>
                <w:sz w:val="24"/>
              </w:rPr>
            </w:pPr>
          </w:p>
        </w:tc>
        <w:tc>
          <w:tcPr>
            <w:tcW w:w="4177" w:type="dxa"/>
            <w:shd w:val="clear" w:color="auto" w:fill="auto"/>
            <w:tcMar>
              <w:top w:w="10" w:type="dxa"/>
              <w:left w:w="10" w:type="dxa"/>
              <w:right w:w="10"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税务机关及其工作人员履行行政职责存在以下情形的，应当承担相应责任：</w:t>
            </w:r>
          </w:p>
          <w:p>
            <w:pPr>
              <w:widowControl/>
              <w:jc w:val="left"/>
              <w:textAlignment w:val="center"/>
              <w:rPr>
                <w:rFonts w:ascii="宋体" w:hAnsi="宋体" w:cs="宋体"/>
                <w:kern w:val="0"/>
                <w:sz w:val="24"/>
              </w:rPr>
            </w:pPr>
            <w:r>
              <w:rPr>
                <w:rFonts w:hint="eastAsia" w:ascii="宋体" w:hAnsi="宋体" w:cs="宋体"/>
                <w:kern w:val="0"/>
                <w:sz w:val="24"/>
              </w:rPr>
              <w:t>1.在征收和使用管理工作中滥用职权、玩忽职守、徇私舞弊，构成犯罪的，依法追究刑事责任；尚不构成犯罪的，依法给予处分；</w:t>
            </w:r>
          </w:p>
          <w:p>
            <w:pPr>
              <w:widowControl/>
              <w:jc w:val="left"/>
              <w:textAlignment w:val="center"/>
              <w:rPr>
                <w:rFonts w:hint="eastAsia" w:ascii="宋体" w:hAnsi="宋体" w:cs="宋体"/>
                <w:kern w:val="0"/>
                <w:sz w:val="24"/>
              </w:rPr>
            </w:pPr>
            <w:r>
              <w:rPr>
                <w:rFonts w:hint="eastAsia" w:ascii="宋体" w:hAnsi="宋体" w:cs="宋体"/>
                <w:kern w:val="0"/>
                <w:sz w:val="24"/>
              </w:rPr>
              <w:t>2.法律、行政法规等规定的其他不履行或者不正确履行行政职责的情形。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51" w:hRule="atLeast"/>
        </w:trPr>
        <w:tc>
          <w:tcPr>
            <w:tcW w:w="892" w:type="dxa"/>
            <w:shd w:val="clear" w:color="auto" w:fill="auto"/>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4"/>
              </w:rPr>
            </w:pPr>
          </w:p>
        </w:tc>
        <w:tc>
          <w:tcPr>
            <w:tcW w:w="1129" w:type="dxa"/>
            <w:shd w:val="clear" w:color="auto" w:fill="auto"/>
            <w:tcMar>
              <w:top w:w="10" w:type="dxa"/>
              <w:left w:w="10" w:type="dxa"/>
              <w:right w:w="10" w:type="dxa"/>
            </w:tcMar>
            <w:vAlign w:val="center"/>
          </w:tcPr>
          <w:p>
            <w:pPr>
              <w:widowControl/>
              <w:jc w:val="left"/>
              <w:textAlignment w:val="center"/>
              <w:rPr>
                <w:rFonts w:hint="eastAsia" w:ascii="宋体" w:hAnsi="宋体" w:eastAsia="宋体" w:cs="宋体"/>
                <w:color w:val="000000"/>
                <w:kern w:val="0"/>
                <w:sz w:val="24"/>
              </w:rPr>
            </w:pPr>
          </w:p>
        </w:tc>
        <w:tc>
          <w:tcPr>
            <w:tcW w:w="1114" w:type="dxa"/>
            <w:shd w:val="clear" w:color="auto" w:fill="auto"/>
            <w:tcMar>
              <w:top w:w="10" w:type="dxa"/>
              <w:left w:w="10" w:type="dxa"/>
              <w:right w:w="10" w:type="dxa"/>
            </w:tcMar>
            <w:vAlign w:val="center"/>
          </w:tcPr>
          <w:p>
            <w:pPr>
              <w:widowControl/>
              <w:jc w:val="left"/>
              <w:textAlignment w:val="center"/>
              <w:rPr>
                <w:rFonts w:hint="eastAsia" w:ascii="宋体" w:hAnsi="宋体" w:cs="宋体"/>
                <w:color w:val="000000"/>
                <w:kern w:val="0"/>
                <w:sz w:val="24"/>
              </w:rPr>
            </w:pPr>
            <w:r>
              <w:rPr>
                <w:rFonts w:hint="eastAsia" w:ascii="宋体" w:hAnsi="宋体" w:cs="宋体"/>
                <w:color w:val="000000"/>
                <w:kern w:val="0"/>
                <w:sz w:val="24"/>
              </w:rPr>
              <w:t>1.2</w:t>
            </w:r>
            <w:r>
              <w:rPr>
                <w:rFonts w:hint="eastAsia" w:ascii="宋体" w:hAnsi="宋体" w:cs="宋体"/>
                <w:color w:val="000000"/>
                <w:kern w:val="0"/>
                <w:sz w:val="24"/>
                <w:lang w:val="en-US" w:eastAsia="zh-CN"/>
              </w:rPr>
              <w:t>1.8</w:t>
            </w:r>
            <w:r>
              <w:rPr>
                <w:rFonts w:hint="eastAsia" w:ascii="宋体" w:hAnsi="宋体" w:cs="宋体"/>
                <w:color w:val="000000"/>
                <w:kern w:val="0"/>
                <w:sz w:val="24"/>
              </w:rPr>
              <w:t>市政公共资源有偿使用收入征收</w:t>
            </w:r>
          </w:p>
        </w:tc>
        <w:tc>
          <w:tcPr>
            <w:tcW w:w="2137" w:type="dxa"/>
            <w:shd w:val="clear" w:color="auto" w:fill="auto"/>
            <w:tcMar>
              <w:top w:w="10" w:type="dxa"/>
              <w:left w:w="10" w:type="dxa"/>
              <w:right w:w="10" w:type="dxa"/>
            </w:tcMar>
            <w:vAlign w:val="center"/>
          </w:tcPr>
          <w:p>
            <w:pPr>
              <w:widowControl/>
              <w:jc w:val="left"/>
              <w:textAlignment w:val="center"/>
              <w:rPr>
                <w:rFonts w:hint="eastAsia" w:ascii="宋体" w:hAnsi="宋体" w:cs="宋体"/>
                <w:color w:val="000000"/>
                <w:kern w:val="0"/>
                <w:sz w:val="24"/>
              </w:rPr>
            </w:pPr>
            <w:r>
              <w:rPr>
                <w:rFonts w:hint="eastAsia" w:ascii="宋体" w:hAnsi="宋体" w:cs="宋体"/>
                <w:color w:val="000000"/>
                <w:kern w:val="0"/>
                <w:sz w:val="24"/>
              </w:rPr>
              <w:t>1.《市政公共资源有偿使用收入管理办法》（财税〔2016〕116号印发）第十一条、第十六条、第十七条。</w:t>
            </w:r>
          </w:p>
          <w:p>
            <w:pPr>
              <w:widowControl/>
              <w:jc w:val="left"/>
              <w:textAlignment w:val="center"/>
              <w:rPr>
                <w:rFonts w:hint="eastAsia" w:ascii="宋体" w:hAnsi="宋体" w:cs="宋体"/>
                <w:color w:val="000000"/>
                <w:kern w:val="0"/>
                <w:sz w:val="24"/>
              </w:rPr>
            </w:pPr>
            <w:r>
              <w:rPr>
                <w:rFonts w:hint="eastAsia" w:ascii="宋体" w:hAnsi="宋体" w:cs="宋体"/>
                <w:color w:val="000000"/>
                <w:kern w:val="0"/>
                <w:sz w:val="24"/>
              </w:rPr>
              <w:t>2.《国家税务总局山西省税务局、山西省财政厅关于市政公共资源有偿使用收入征管职责划转有关工作的通知》（晋税函〔2018〕143号）第一条。</w:t>
            </w:r>
          </w:p>
          <w:p>
            <w:pPr>
              <w:widowControl/>
              <w:jc w:val="left"/>
              <w:textAlignment w:val="center"/>
              <w:rPr>
                <w:rFonts w:hint="eastAsia" w:ascii="宋体" w:hAnsi="宋体" w:cs="宋体"/>
                <w:color w:val="000000"/>
                <w:kern w:val="0"/>
                <w:sz w:val="24"/>
              </w:rPr>
            </w:pPr>
          </w:p>
        </w:tc>
        <w:tc>
          <w:tcPr>
            <w:tcW w:w="11313" w:type="dxa"/>
            <w:shd w:val="clear" w:color="auto" w:fill="auto"/>
            <w:tcMar>
              <w:top w:w="10" w:type="dxa"/>
              <w:left w:w="10" w:type="dxa"/>
              <w:right w:w="10" w:type="dxa"/>
            </w:tcMar>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相关程序和要求</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1.税务机关应当通过官方网站、办税服务场所等渠道公开征收主体、权限、依据、程序、报送资料、救济渠道、服务指南、流程图等；</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2.市政公共资源有偿使用收入由市政公共资源受让方向市政公共资源管理部门的主管税务机关自行申报、按次缴纳。</w:t>
            </w:r>
          </w:p>
          <w:p>
            <w:pPr>
              <w:widowControl/>
              <w:jc w:val="left"/>
              <w:textAlignment w:val="center"/>
              <w:rPr>
                <w:rFonts w:hint="eastAsia" w:ascii="宋体" w:hAnsi="宋体" w:cs="宋体"/>
                <w:color w:val="000000"/>
                <w:kern w:val="0"/>
                <w:sz w:val="24"/>
              </w:rPr>
            </w:pPr>
          </w:p>
        </w:tc>
        <w:tc>
          <w:tcPr>
            <w:tcW w:w="4177" w:type="dxa"/>
            <w:shd w:val="clear" w:color="auto" w:fill="auto"/>
            <w:tcMar>
              <w:top w:w="10" w:type="dxa"/>
              <w:left w:w="10" w:type="dxa"/>
              <w:right w:w="10"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税务机关及其工作人员履行行政职责存在以下情形的，应当承担相应责任：</w:t>
            </w:r>
          </w:p>
          <w:p>
            <w:pPr>
              <w:widowControl/>
              <w:jc w:val="left"/>
              <w:textAlignment w:val="center"/>
              <w:rPr>
                <w:rFonts w:ascii="宋体" w:hAnsi="宋体" w:cs="宋体"/>
                <w:kern w:val="0"/>
                <w:sz w:val="24"/>
              </w:rPr>
            </w:pPr>
            <w:r>
              <w:rPr>
                <w:rFonts w:hint="eastAsia" w:ascii="宋体" w:hAnsi="宋体" w:cs="宋体"/>
                <w:kern w:val="0"/>
                <w:sz w:val="24"/>
              </w:rPr>
              <w:t>1.在征收和使用管理工作中滥用职权、玩忽职守、徇私舞弊，构成犯罪的，依法追究刑事责任；尚不构成犯罪的，依法给予处分；</w:t>
            </w:r>
          </w:p>
          <w:p>
            <w:pPr>
              <w:widowControl/>
              <w:jc w:val="left"/>
              <w:textAlignment w:val="center"/>
              <w:rPr>
                <w:rFonts w:hint="eastAsia" w:ascii="宋体" w:hAnsi="宋体" w:cs="宋体"/>
                <w:kern w:val="0"/>
                <w:sz w:val="24"/>
              </w:rPr>
            </w:pPr>
            <w:r>
              <w:rPr>
                <w:rFonts w:hint="eastAsia" w:ascii="宋体" w:hAnsi="宋体" w:cs="宋体"/>
                <w:kern w:val="0"/>
                <w:sz w:val="24"/>
              </w:rPr>
              <w:t>2.法律、行政法规等规定的其他不履行或者不正确履行行政职责的情形。</w:t>
            </w:r>
          </w:p>
        </w:tc>
      </w:tr>
    </w:tbl>
    <w:p>
      <w:r>
        <w:br w:type="page"/>
      </w:r>
    </w:p>
    <w:p>
      <w:pPr>
        <w:jc w:val="center"/>
        <w:rPr>
          <w:rFonts w:ascii="楷体_GB2312" w:hAnsi="楷体" w:eastAsia="楷体_GB2312" w:cs="楷体"/>
          <w:b/>
          <w:bCs/>
          <w:sz w:val="32"/>
          <w:szCs w:val="32"/>
        </w:rPr>
      </w:pPr>
      <w:r>
        <w:rPr>
          <w:rFonts w:hint="eastAsia" w:ascii="楷体_GB2312" w:hAnsi="楷体" w:eastAsia="楷体_GB2312" w:cs="楷体"/>
          <w:b/>
          <w:bCs/>
          <w:sz w:val="32"/>
          <w:szCs w:val="32"/>
        </w:rPr>
        <w:t>（二）行政强制</w:t>
      </w:r>
    </w:p>
    <w:tbl>
      <w:tblPr>
        <w:tblStyle w:val="7"/>
        <w:tblW w:w="20735" w:type="dxa"/>
        <w:tblInd w:w="0" w:type="dxa"/>
        <w:tblLayout w:type="fixed"/>
        <w:tblCellMar>
          <w:top w:w="0" w:type="dxa"/>
          <w:left w:w="0" w:type="dxa"/>
          <w:bottom w:w="0" w:type="dxa"/>
          <w:right w:w="0" w:type="dxa"/>
        </w:tblCellMar>
      </w:tblPr>
      <w:tblGrid>
        <w:gridCol w:w="672"/>
        <w:gridCol w:w="900"/>
        <w:gridCol w:w="663"/>
        <w:gridCol w:w="1562"/>
        <w:gridCol w:w="11113"/>
        <w:gridCol w:w="5825"/>
      </w:tblGrid>
      <w:tr>
        <w:tblPrEx>
          <w:tblLayout w:type="fixed"/>
          <w:tblCellMar>
            <w:top w:w="0" w:type="dxa"/>
            <w:left w:w="0" w:type="dxa"/>
            <w:bottom w:w="0" w:type="dxa"/>
            <w:right w:w="0" w:type="dxa"/>
          </w:tblCellMar>
        </w:tblPrEx>
        <w:trPr>
          <w:trHeight w:val="600" w:hRule="atLeast"/>
          <w:tblHeader/>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序号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职权</w:t>
            </w:r>
          </w:p>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名称</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b/>
                <w:color w:val="000000"/>
                <w:sz w:val="24"/>
              </w:rPr>
            </w:pPr>
            <w:r>
              <w:rPr>
                <w:rFonts w:hint="eastAsia" w:ascii="宋体" w:hAnsi="宋体" w:eastAsia="宋体" w:cs="宋体"/>
                <w:b/>
                <w:color w:val="000000"/>
                <w:kern w:val="0"/>
                <w:sz w:val="24"/>
              </w:rPr>
              <w:t>子项</w:t>
            </w:r>
          </w:p>
        </w:tc>
        <w:tc>
          <w:tcPr>
            <w:tcW w:w="15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设定依据</w:t>
            </w:r>
          </w:p>
        </w:tc>
        <w:tc>
          <w:tcPr>
            <w:tcW w:w="111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履责方式</w:t>
            </w:r>
          </w:p>
        </w:tc>
        <w:tc>
          <w:tcPr>
            <w:tcW w:w="58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追责情形</w:t>
            </w:r>
          </w:p>
        </w:tc>
      </w:tr>
      <w:tr>
        <w:tblPrEx>
          <w:tblLayout w:type="fixed"/>
          <w:tblCellMar>
            <w:top w:w="0" w:type="dxa"/>
            <w:left w:w="0" w:type="dxa"/>
            <w:bottom w:w="0" w:type="dxa"/>
            <w:right w:w="0" w:type="dxa"/>
          </w:tblCellMar>
        </w:tblPrEx>
        <w:trPr>
          <w:trHeight w:val="819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查封、扣押商品、货物或者其他财产</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eastAsia="宋体" w:cs="宋体"/>
                <w:color w:val="000000"/>
                <w:sz w:val="24"/>
              </w:rPr>
            </w:pPr>
          </w:p>
        </w:tc>
        <w:tc>
          <w:tcPr>
            <w:tcW w:w="15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1.《中华人民共和国税收征收管理法》第三十七条、第三十八第一款、第四十条第一款、第四十一条、第五十五条、第八十八条第三款。</w:t>
            </w:r>
          </w:p>
          <w:p>
            <w:pPr>
              <w:widowControl/>
              <w:jc w:val="left"/>
              <w:textAlignment w:val="center"/>
              <w:rPr>
                <w:rFonts w:ascii="宋体" w:hAnsi="宋体" w:cs="宋体"/>
                <w:color w:val="000000"/>
                <w:sz w:val="24"/>
              </w:rPr>
            </w:pPr>
            <w:r>
              <w:rPr>
                <w:rFonts w:hint="eastAsia" w:ascii="宋体" w:hAnsi="宋体" w:cs="宋体"/>
                <w:color w:val="000000"/>
                <w:kern w:val="0"/>
                <w:sz w:val="24"/>
              </w:rPr>
              <w:t>2.《中华人民共和国行政强制法》第二十二条。</w:t>
            </w:r>
          </w:p>
        </w:tc>
        <w:tc>
          <w:tcPr>
            <w:tcW w:w="111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kern w:val="0"/>
                <w:sz w:val="24"/>
              </w:rPr>
            </w:pP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一、相关程序和要求</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1.税务机关应当通过官方网站、办税服务场所等渠道公开查封、扣押商品、货物或者其他财产的主体、权限、依据、程序、救济渠道、流程图等；</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2.税务机关对符合税收征管法第三十七条规定情形的，可以依法实施扣押；</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3.税务机关对符合税收征管法第三十八条第一款、第四十条第一款、第五十五条规定情形的，经县以上税务局(分局)局长批准，可以依法实施查封、扣押；</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4.作出处罚决定的税务机关对符合税收征管法第八十八条第三款规定情形的，可以依法实施查封、扣押；</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5.情况紧急，需要当场实施行政强制措施的，应当在二十四小时内向税务机关负责人报告，并补办批准手续。税务机关负责人认为不应当采取行政强制措施的，应当立即解除；</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6.税务机关应当查封、扣押与违法行为相关的、价值相当于应纳税款的商品、货物或者其他财产。不得查封、扣押公民个人及其所扶养家属维持生活必需的住房、用品和单价5000元以下的其他生活用品。当事人的商品、货物或者其他财产已被其他国家机关依法查封的，不得重复查封；</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7.税务机关应当由2名以上行政执法人员实施查封、扣押措施，通知当事人到场，出示执法身份证件，当场告知当事人采取行政强制措施的理由、依据以及当事人依法享有的权利、救济途径，同时听取当事人的陈述和申辩；按规定制作现场笔录，由当事人和行政执法人员签名或者盖章，当事人拒绝的，在笔录中予以注明；当事人不到场的，邀请见证人到场，由见证人和行政执法人员在现场笔录上签名或者盖章；</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8.税务机关应当制作并当场交付查封、扣押决定书，开付扣押收据或查封清单。</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二、事中事后监管措施</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1.税务机关应当妥善保管查封、扣押的商品、货物或者其他财产；</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2.税务机关采取查封、扣押措施后，应当及时查清事实，在规定期限内作出处理决定。当事人缴纳税款的，解除查封、扣押措施；当事人未按规定缴纳税款的，依法拍卖、变卖所扣押的财产，以拍卖、变卖所得抵缴税款；</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3.查封、扣押的期限不得超过三十日；情况复杂的，经税务机关负责人批准，可以延长，但是延长期限不得超过三十日。法律、行政法规另有规定的除外。延长查封、扣押的决定应当及时书面告知当事人，并说明理由；</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依照税收征管法第五十五条规定，税务机关对从事生产、经营的纳税人以前纳税期的纳税情况依法进行税务检查时，采取税收保全措施的期限一般不得超过6个月；重大案件需要延长的，应当报国家税务总局批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4.税务机关采取税收保全措施后，纳税人按照税务机关规定的期限缴纳税款的，税务机关应当自收到税款或者银行转回的完税凭证之日起1日内解除税收保全。</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三、部门间职责衔接</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税务机关实施扣押、查封时，通知有关机关在扣押、查封期间不再办理该动产或者不动产的过户手续。</w:t>
            </w:r>
          </w:p>
          <w:p>
            <w:pPr>
              <w:widowControl/>
              <w:jc w:val="left"/>
              <w:textAlignment w:val="center"/>
              <w:rPr>
                <w:rFonts w:ascii="宋体" w:hAnsi="宋体" w:cs="宋体"/>
                <w:color w:val="000000"/>
                <w:sz w:val="24"/>
              </w:rPr>
            </w:pPr>
          </w:p>
        </w:tc>
        <w:tc>
          <w:tcPr>
            <w:tcW w:w="58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1.没有法律、法规依据，或者违反法定程序实施查封、扣押的；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2.违反法律规定扩大查封、扣押范围的；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3.查封、扣押纳税人个人及其所扶养家属维持生活必需的住房和用品的；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4.滥用职权违法采取税收保全措施、强制执行措施，或者采取税收保全措施、强制执行措施不当，使纳税人、扣缴义务人或者纳税担保人的合法权益遭受损失的；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5.违反法律规定使用或者损毁查封、扣押场所、设施或者财物的；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6.将查封、扣押的财物，截留、私分或者变相私分的；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7.利用职务上的便利，将查封、扣押的场所、设施或者财物据为己有的；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8.纳税人在限期内已缴纳税款，未立即解除税收保全措施，使纳税人的合法利益遭受损失的；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9.违反法律规定，在查封、扣押法定期间不作出处理决定或者未依法及时解除查封、扣押的；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10.利用行政强制权为单位或者个人谋取利益的；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11.利用职务上的便利，收受或索取纳税人、扣缴义务人财物或谋取不正当利益的；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12.徇私舞弊或者玩忽职守，不征或者少征应征税款，致使国家税收遭受重大损失的；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13.滥用职权，故意刁难纳税人、扣缴义务人的；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14.对控告、检举税收违法行为的纳税人、扣缴义务人以及其他检举人进行打击报复的；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15.未按照规定为纳税人、扣缴义务人、检举人保密的；</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16.法律、行政法规等规定的其他不履行或者不正确履行行政职责的情形。</w:t>
            </w:r>
          </w:p>
        </w:tc>
      </w:tr>
      <w:tr>
        <w:tblPrEx>
          <w:tblLayout w:type="fixed"/>
          <w:tblCellMar>
            <w:top w:w="0" w:type="dxa"/>
            <w:left w:w="0" w:type="dxa"/>
            <w:bottom w:w="0" w:type="dxa"/>
            <w:right w:w="0" w:type="dxa"/>
          </w:tblCellMar>
        </w:tblPrEx>
        <w:trPr>
          <w:trHeight w:val="6712"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冻结存款</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eastAsia="宋体" w:cs="宋体"/>
                <w:color w:val="000000"/>
                <w:sz w:val="24"/>
              </w:rPr>
            </w:pPr>
          </w:p>
        </w:tc>
        <w:tc>
          <w:tcPr>
            <w:tcW w:w="15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1.《中华人民共和国税收征收管理法》第三十八条第一款、第四十一条、第五十五条。</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2.《中华人民共和国行政强制法》第二十九条。</w:t>
            </w:r>
          </w:p>
        </w:tc>
        <w:tc>
          <w:tcPr>
            <w:tcW w:w="111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1.税务机关应当通过官方网站、办税服务场所等渠道公开冻结存款的主体、权限、依据、程序、救济渠道、流程图等；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2.税务机关实施前需经县以上税务局(分局)局长批准；</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3.税务机关应当由2名以上执法人员实施冻结存款，出示执法证件，书面通知金融机构协助执行，制作现场笔录；</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4.税务机关按照法律规定冻结存款的，应当在三个工作日内向当事人交付《税收保全措施决定书（冻结存款适用）》，并告知当事人冻结理由、依据和期限以及申请行政复议或者提起行政诉讼的途径和期限。</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1.纳税人在规定的限期内缴纳税款的，税务机关应当解除冻结存款；未按规定缴纳税款的，经批准，可以书面通知纳税人开户银行或者其他金融机构从其冻结的存款中扣缴税款；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自冻结存款之日起三十日内，税务机关应当作出处理决定或者作出解除冻结决定；情况复杂的，经税务机关负责人批准，可以延长，但是延长期限不得超过三十日。法律另有规定的除外。延长冻结的决定应当及时书面告知当事人，并说明理由</w:t>
            </w:r>
            <w:r>
              <w:rPr>
                <w:rFonts w:hint="eastAsia" w:ascii="宋体" w:hAnsi="宋体" w:cs="宋体"/>
                <w:color w:val="000000"/>
                <w:kern w:val="0"/>
                <w:sz w:val="24"/>
              </w:rPr>
              <w:t>。</w:t>
            </w:r>
          </w:p>
        </w:tc>
        <w:tc>
          <w:tcPr>
            <w:tcW w:w="58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1.没有法律、法规依据，或者违反法定程序实施冻结存款的；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2.违反法律规定扩大冻结范围的；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3.滥用职权违法采取税收保全措施、强制执行措施，或者采取税收保全措施、强制执行措施不当，使纳税人、扣缴义务人或者纳税担保人的合法权益遭受损失的；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4.违反法律规定在冻结存款法定期间不作出处理决定或者未依法及时解除冻结的；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5.利用行政强制权为单位或者个人谋取利益的；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6.利用职务上的便利，收受或索取纳税人、扣缴义务人财物或谋取不正当利益的；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9.对控告、检举税收违法行为的纳税人、扣缴义务人以及其他检举人进行打击报复的；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10.未按照规定为纳税人、扣缴义务人、检举人保密的；</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11.法律、行政法规等规定的其他不履行或者不正确履行行政职责的情形。</w:t>
            </w:r>
          </w:p>
        </w:tc>
      </w:tr>
      <w:tr>
        <w:tblPrEx>
          <w:tblLayout w:type="fixed"/>
          <w:tblCellMar>
            <w:top w:w="0" w:type="dxa"/>
            <w:left w:w="0" w:type="dxa"/>
            <w:bottom w:w="0" w:type="dxa"/>
            <w:right w:w="0" w:type="dxa"/>
          </w:tblCellMar>
        </w:tblPrEx>
        <w:trPr>
          <w:trHeight w:val="450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2.3</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加处罚款</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eastAsia="宋体" w:cs="宋体"/>
                <w:color w:val="000000"/>
                <w:sz w:val="24"/>
              </w:rPr>
            </w:pPr>
          </w:p>
        </w:tc>
        <w:tc>
          <w:tcPr>
            <w:tcW w:w="15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1.《中华人民共和国行政强制法》第四十五条。</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2.《中华人民共和国行政处罚法》第五十一条。</w:t>
            </w:r>
          </w:p>
        </w:tc>
        <w:tc>
          <w:tcPr>
            <w:tcW w:w="111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一、相关程序和要求</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1.税务机关应当通过官方网站、办税服务场所等渠道公开加处罚款的主体、权限、依据、程序、救济渠道、流程图等；</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2.当事人到期不缴纳罚款的，税务机关可以每日按罚款数额的百分之三加处罚款，加处罚款的标准应当告知当事人；</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3.税务机关加处罚款的数额不得超出金钱给付义务的数额；</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4.税务机关实施加处罚款超过三十日，经催告当事人仍不履行的，税务机关可以强制执行。</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二、事中事后监管措施</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1.符合行政强制法第三十九条和第四十条规定情形的，应当中止执行或终结执行；</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2.在执行中或者执行完毕后，据以执行的行政决定被撤销、变更，或者执行错误的，应当恢复原状或者退还财物；不能恢复原状或者退还财物的，依法给予赔偿；</w:t>
            </w:r>
          </w:p>
          <w:p>
            <w:pPr>
              <w:widowControl/>
              <w:jc w:val="left"/>
              <w:textAlignment w:val="center"/>
              <w:rPr>
                <w:rFonts w:ascii="宋体" w:hAnsi="宋体" w:cs="宋体"/>
                <w:color w:val="000000"/>
                <w:sz w:val="24"/>
              </w:rPr>
            </w:pPr>
            <w:r>
              <w:rPr>
                <w:rFonts w:hint="eastAsia" w:ascii="宋体" w:hAnsi="宋体" w:cs="宋体"/>
                <w:color w:val="000000"/>
                <w:kern w:val="0"/>
                <w:sz w:val="24"/>
              </w:rPr>
              <w:t>3.税务机关可以在不损害公共利益和他人合法权益的情况下，与当事人达成执行协议。执行协议可以约定分阶段履行；当事人采取补救措施的，可以减免加处的罚款。</w:t>
            </w:r>
          </w:p>
        </w:tc>
        <w:tc>
          <w:tcPr>
            <w:tcW w:w="58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税务机关及其工作人员履行行政职责存在以下情形的，应当承担相应责任：</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1.没有法律、法规依据，或者违反法定程序实施加处罚款的；</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2.滥用职权违法采取税收保全措施、强制执行措施，或者采取税收保全措施、强制执行措施不当，使纳税人、扣缴义务人或者纳税担保人的合法权益遭受损失的；</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3.利用行政强制权为单位或者个人谋取利益的；</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4.利用职务上的便利，收受或索取纳税人、扣缴义务人财物或谋取不正当利益的；</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5.徇私舞弊或者玩忽职守，不征或者少征应征税款，致使国家税收遭受重大损失的；</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6.滥用职权，故意刁难纳税人、扣缴义务人的；</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7.对控告、检举税收违法行为的纳税人、扣缴义务人以及其他检举人进行打击报复的；</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8.未按照规定为纳税人、扣缴义务人、检举人保密的；</w:t>
            </w:r>
          </w:p>
          <w:p>
            <w:pPr>
              <w:widowControl/>
              <w:jc w:val="left"/>
              <w:textAlignment w:val="center"/>
              <w:rPr>
                <w:rFonts w:ascii="宋体" w:hAnsi="宋体" w:cs="宋体"/>
                <w:color w:val="000000"/>
                <w:sz w:val="24"/>
              </w:rPr>
            </w:pPr>
            <w:r>
              <w:rPr>
                <w:rFonts w:hint="eastAsia" w:ascii="宋体" w:hAnsi="宋体" w:cs="宋体"/>
                <w:color w:val="000000"/>
                <w:kern w:val="0"/>
                <w:sz w:val="24"/>
              </w:rPr>
              <w:t>9.法律、行政法规等规定的其他不履行或者不正确履行行政职责的情形。</w:t>
            </w:r>
          </w:p>
        </w:tc>
      </w:tr>
      <w:tr>
        <w:tblPrEx>
          <w:tblLayout w:type="fixed"/>
          <w:tblCellMar>
            <w:top w:w="0" w:type="dxa"/>
            <w:left w:w="0" w:type="dxa"/>
            <w:bottom w:w="0" w:type="dxa"/>
            <w:right w:w="0" w:type="dxa"/>
          </w:tblCellMar>
        </w:tblPrEx>
        <w:trPr>
          <w:trHeight w:val="540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2.4</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强制扣缴税款、滞纳金、罚款</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eastAsia="宋体" w:cs="宋体"/>
                <w:color w:val="000000"/>
                <w:sz w:val="24"/>
              </w:rPr>
            </w:pPr>
          </w:p>
        </w:tc>
        <w:tc>
          <w:tcPr>
            <w:tcW w:w="15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1.《中华人民共和国税收征收管理法》第三十八条第二款、第四十条第一款、第四十一条、第五十五条、第八十八条第三款。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2.《中华人民共和国行政强制法》第四十七条第一款。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3.《中华人民共和国行政处罚法》第五十一条。</w:t>
            </w:r>
          </w:p>
        </w:tc>
        <w:tc>
          <w:tcPr>
            <w:tcW w:w="111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一、相关程序和要求</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1.税务机关应当通过官方网站、办税服务场所等渠道公开强制扣缴税款、滞纳金、罚款的主体、权限、依据、程序、救济渠道、流程图等；</w:t>
            </w:r>
          </w:p>
          <w:p>
            <w:pPr>
              <w:rPr>
                <w:rFonts w:ascii="宋体" w:hAnsi="宋体" w:cs="宋体"/>
                <w:color w:val="000000"/>
                <w:kern w:val="0"/>
                <w:sz w:val="24"/>
              </w:rPr>
            </w:pPr>
            <w:r>
              <w:rPr>
                <w:rFonts w:hint="eastAsia" w:ascii="宋体" w:hAnsi="宋体" w:cs="宋体"/>
                <w:color w:val="000000"/>
                <w:kern w:val="0"/>
                <w:sz w:val="24"/>
              </w:rPr>
              <w:t>2.符合税收征管法第三十八条第二款、第四十条第一款、第五十五条规定情形的，经县以上税务局（分局）局长批准，税务机关可以书面通知其开户银行或者其他金融机构从其存款中扣缴税款、滞纳金；</w:t>
            </w:r>
          </w:p>
          <w:p>
            <w:pPr>
              <w:rPr>
                <w:rFonts w:ascii="宋体" w:hAnsi="宋体" w:cs="宋体"/>
                <w:color w:val="000000"/>
                <w:kern w:val="0"/>
                <w:sz w:val="24"/>
              </w:rPr>
            </w:pPr>
            <w:r>
              <w:rPr>
                <w:rFonts w:hint="eastAsia" w:ascii="宋体" w:hAnsi="宋体" w:cs="宋体"/>
                <w:color w:val="000000"/>
                <w:kern w:val="0"/>
                <w:sz w:val="24"/>
              </w:rPr>
              <w:t>3.当事人对税务机关的处罚决定逾期不申请行政复议也不向人民法院起诉、又不履行的，作出处罚决定的税务机关可以书面通知其开户银行或者其他金融机构从其存款中扣缴罚款；</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4.税务机关应当事先书面催告当事人履行义务；在催告期间，对有证据证明有转移或者隐匿财物迹象的，税务机关可以作出立即强制执行决定，不受催告期限限制；</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5.税务机关应当充分听取当事人的意见，记录、复核当事人提出的事实、理由和证据，当事人提出的事实、理由或者证据成立的，税务机关应当采纳；</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6.税务机关应当书面通知当事人，并告知其依法享有的救济权利、途径和期限。</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二、事中事后监管措施</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1.符合行政强制法第三十九条和第四十条规定情形的，应当中止执行或终结执行；</w:t>
            </w:r>
          </w:p>
          <w:p>
            <w:pPr>
              <w:widowControl/>
              <w:jc w:val="left"/>
              <w:textAlignment w:val="center"/>
              <w:rPr>
                <w:rFonts w:ascii="宋体" w:hAnsi="宋体" w:eastAsia="宋体" w:cs="宋体"/>
                <w:color w:val="000000"/>
                <w:sz w:val="24"/>
              </w:rPr>
            </w:pPr>
            <w:r>
              <w:rPr>
                <w:rFonts w:hint="eastAsia" w:ascii="宋体" w:hAnsi="宋体" w:cs="宋体"/>
                <w:color w:val="000000"/>
                <w:kern w:val="0"/>
                <w:sz w:val="24"/>
              </w:rPr>
              <w:t>2.在执行中或者执行完毕后，据以执行的行政决定被撤销、变更，或者执行错误的，应当恢复原状或者退还财物；不能恢复原状或者退还财物的，依法给予赔偿。</w:t>
            </w:r>
          </w:p>
        </w:tc>
        <w:tc>
          <w:tcPr>
            <w:tcW w:w="58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税务机关及其工作人员履行行政职责存在以下情形的，应当承担相应责任：</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1.没有法律、法规依据，或者违反法定程序实施强制扣缴的；</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2.违反法律规定，在夜间或者法定节假日实施行政强制执行的；</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3.滥用职权违法采取税收保全措施、强制执行措施，或者采取税收保全措施、强制执行措施不当，使纳税人、扣缴义务人或者纳税担保人的合法权益遭受损失的；</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4.违反法律规定，指令金融机构将款项划入国库或者财政专户以外的其他账户的；</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5.将划拨的存款截留、私分或者变相私分的；</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6.利用行政强制权为单位或者个人谋取利益的；</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7.利用职务上的便利，收受或索取纳税人、扣缴义务人财物或谋取不正当利益的；</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8.徇私舞弊或者玩忽职守，不征或者少征应征税款，致使国家税收遭受重大损失的；</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9.滥用职权，故意刁难纳税人、扣缴义务人的；</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10.对控告、检举税收违法行为的纳税人、扣缴义务人以及其他检举人进行打击报复的；</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11.未按照规定为纳税人、扣缴义务人、检举人保密的；</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12.法律、行政法规等规定的其他不履行或者不正确履行行政职责的情形。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600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2.5</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变卖鲜活、易腐烂变质或者易失效的商品、货物</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eastAsia="宋体" w:cs="宋体"/>
                <w:color w:val="000000"/>
                <w:sz w:val="24"/>
              </w:rPr>
            </w:pPr>
          </w:p>
        </w:tc>
        <w:tc>
          <w:tcPr>
            <w:tcW w:w="156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1.《中华人民共和国税收征收管理法》第三十七条、第三十八条第二款、第四十条第一款、第五十五条、第八十八条第三款。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2.《中华人民共和国行政强制法》第三十四条、第三十七条。</w:t>
            </w:r>
          </w:p>
        </w:tc>
        <w:tc>
          <w:tcPr>
            <w:tcW w:w="111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1.税务机关应当通过官方网站、办税服务场所等渠道公开变卖鲜活、易腐烂变质或者易失效的商品、货物的主体、权限、依据、程序、救济渠道、流程图等；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2.拍卖、变卖抵税财物，由县以上税务局（分局）组织进行。变卖鲜活、易腐烂变质或者易失效的商品、货物时，经县以上税务局（分局）局长批准，可由县以下税务机关进行；</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3.税务机关应当事先书面催告当事人履行义务；</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4.税务机关应当充分听取当事人的意见，记录、复核当事人提出的事实、理由和证据，当事人提出的事实、理由或者证据成立的，税务机关应当采纳；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5.税务机关经县以上税务局(分局)局长批准，作出变卖决定，应当书面通知</w:t>
            </w:r>
            <w:r>
              <w:rPr>
                <w:rFonts w:hint="eastAsia" w:ascii="宋体" w:hAnsi="宋体" w:cs="宋体"/>
                <w:color w:val="000000"/>
                <w:kern w:val="0"/>
                <w:sz w:val="24"/>
              </w:rPr>
              <w:t>当事人</w:t>
            </w:r>
            <w:r>
              <w:rPr>
                <w:rFonts w:hint="eastAsia" w:ascii="宋体" w:hAnsi="宋体" w:eastAsia="宋体" w:cs="宋体"/>
                <w:color w:val="000000"/>
                <w:kern w:val="0"/>
                <w:sz w:val="24"/>
              </w:rPr>
              <w:t>，告知当事人依法享有的救济权利、途径和期限；</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6.税务机关应当依法变卖，将变卖所得支付税款、滞纳金、罚款以及变卖等费用后，剩余部分应当在3日内退还被执行人；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7.变卖结束后，税务机关应当将变卖结果通知书，变卖扣押、查封的商品、货物清单送交被执行人。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1.符合行政强制法第三十九条和第四十条规定情形的，应当中止执行或终结执行；</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2.在执行中或者执行完毕后，据以执行的行政决定被撤销、变更，或者执行错误的，应当恢复原状或者退还财物；不能恢复原状或者退还财物的，依法给予赔偿。</w:t>
            </w:r>
          </w:p>
        </w:tc>
        <w:tc>
          <w:tcPr>
            <w:tcW w:w="58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1.没有法律、法规依据，或者违反法定程序实施变卖的；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2.违反法律规定，在夜间或者法定节假日实施行政强制执行的；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3.滥用职权违法采取税收保全措施、强制执行措施，或者采取税收保全措施、强制执行措施不当，使纳税人、扣缴义务人或者纳税担保人的合法权益遭受损失的；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4.在变卖过程中，向被执行人摊派、索取不合法费用的；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5.参与被变卖商品、货物或者其他财产的竞买或收购，或者委托他人竞买或收购的；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6.不依法对抵税财物进行变卖,在变卖过程中擅自将应该委托商业企业变卖、责令被执行人自行处理的由税务机关直接变价处理的；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7.利用行政强制权为单位或者个人谋取利益的；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8.利用职务上的便利，收受或索取纳税人、扣缴义务人财物或谋取不正当利益的；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11.对控告、检举税收违法行为的纳税人、扣缴义务人以及其他检举人进行打击报复的；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12.未按照规定为纳税人、扣缴义务人、检举人保密的；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13.法律、行政法规等规定的其他不履行或者不正确履行行政职责的情形。</w:t>
            </w:r>
          </w:p>
          <w:p>
            <w:pPr>
              <w:widowControl/>
              <w:jc w:val="left"/>
              <w:textAlignment w:val="center"/>
              <w:rPr>
                <w:rFonts w:ascii="宋体" w:hAnsi="宋体" w:eastAsia="宋体" w:cs="宋体"/>
                <w:color w:val="000000"/>
                <w:sz w:val="24"/>
              </w:rPr>
            </w:pPr>
          </w:p>
        </w:tc>
      </w:tr>
    </w:tbl>
    <w:p>
      <w:pPr>
        <w:rPr>
          <w:rFonts w:ascii="楷体" w:hAnsi="楷体" w:eastAsia="楷体" w:cs="楷体"/>
          <w:b/>
          <w:bCs/>
          <w:sz w:val="32"/>
          <w:szCs w:val="32"/>
        </w:rPr>
      </w:pPr>
      <w:r>
        <w:rPr>
          <w:rFonts w:hint="eastAsia" w:ascii="楷体" w:hAnsi="楷体" w:eastAsia="楷体" w:cs="楷体"/>
          <w:b/>
          <w:bCs/>
          <w:sz w:val="32"/>
          <w:szCs w:val="32"/>
        </w:rPr>
        <w:br w:type="page"/>
      </w:r>
    </w:p>
    <w:p>
      <w:pPr>
        <w:jc w:val="center"/>
        <w:rPr>
          <w:rFonts w:ascii="楷体_GB2312" w:hAnsi="楷体" w:eastAsia="楷体_GB2312" w:cs="楷体"/>
          <w:b/>
          <w:bCs/>
          <w:sz w:val="32"/>
          <w:szCs w:val="32"/>
        </w:rPr>
      </w:pPr>
    </w:p>
    <w:p>
      <w:pPr>
        <w:jc w:val="center"/>
        <w:rPr>
          <w:rFonts w:ascii="楷体_GB2312" w:hAnsi="楷体" w:eastAsia="楷体_GB2312" w:cs="楷体"/>
          <w:b/>
          <w:bCs/>
          <w:sz w:val="32"/>
          <w:szCs w:val="32"/>
        </w:rPr>
      </w:pPr>
      <w:r>
        <w:rPr>
          <w:rFonts w:hint="eastAsia" w:ascii="楷体_GB2312" w:hAnsi="楷体" w:eastAsia="楷体_GB2312" w:cs="楷体"/>
          <w:b/>
          <w:bCs/>
          <w:sz w:val="32"/>
          <w:szCs w:val="32"/>
        </w:rPr>
        <w:t>（三）行政检查</w:t>
      </w:r>
    </w:p>
    <w:tbl>
      <w:tblPr>
        <w:tblStyle w:val="7"/>
        <w:tblW w:w="20747" w:type="dxa"/>
        <w:tblInd w:w="0" w:type="dxa"/>
        <w:tblLayout w:type="fixed"/>
        <w:tblCellMar>
          <w:top w:w="0" w:type="dxa"/>
          <w:left w:w="0" w:type="dxa"/>
          <w:bottom w:w="0" w:type="dxa"/>
          <w:right w:w="0" w:type="dxa"/>
        </w:tblCellMar>
      </w:tblPr>
      <w:tblGrid>
        <w:gridCol w:w="590"/>
        <w:gridCol w:w="990"/>
        <w:gridCol w:w="990"/>
        <w:gridCol w:w="1460"/>
        <w:gridCol w:w="12205"/>
        <w:gridCol w:w="4512"/>
      </w:tblGrid>
      <w:tr>
        <w:tblPrEx>
          <w:tblLayout w:type="fixed"/>
          <w:tblCellMar>
            <w:top w:w="0" w:type="dxa"/>
            <w:left w:w="0" w:type="dxa"/>
            <w:bottom w:w="0" w:type="dxa"/>
            <w:right w:w="0" w:type="dxa"/>
          </w:tblCellMar>
        </w:tblPrEx>
        <w:trPr>
          <w:trHeight w:val="600" w:hRule="atLeast"/>
          <w:tblHeader/>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序号</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职权名称</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子项</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设定依据</w:t>
            </w:r>
          </w:p>
        </w:tc>
        <w:tc>
          <w:tcPr>
            <w:tcW w:w="122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履责方式</w:t>
            </w: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追责情形</w:t>
            </w:r>
          </w:p>
        </w:tc>
      </w:tr>
      <w:tr>
        <w:tblPrEx>
          <w:tblLayout w:type="fixed"/>
          <w:tblCellMar>
            <w:top w:w="0" w:type="dxa"/>
            <w:left w:w="0" w:type="dxa"/>
            <w:bottom w:w="0" w:type="dxa"/>
            <w:right w:w="0" w:type="dxa"/>
          </w:tblCellMar>
        </w:tblPrEx>
        <w:trPr>
          <w:trHeight w:val="810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3.1</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税务检查</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3.1.1检查和调取账簿、发票、记账凭证、报表和有关资料</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1.《中华人民共和国税收征收管理法》第五十四条第一项。</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2.《中华人民共和国税收征收管理法实施细则》第八十六条。</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3.《中华人民共和国发票管理办法》第三十条第一、二、三项。</w:t>
            </w:r>
          </w:p>
        </w:tc>
        <w:tc>
          <w:tcPr>
            <w:tcW w:w="122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1.税务机关应当通过官方网站、办税服务场所等渠道公开税务检查的主体、权限、依据、程序、救济渠道、流程图等；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2.税务机关应当统筹安排检查工作，严格控制对纳税人、扣缴义务人的检查次数；</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3.税务机关实施检查应当2人以上，出示税务检查证和税务检查通知书，并为其保守秘密；税务机关对集贸市场及集中经营业户进行检查时，可以使用统一的税务检查通知书；</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调取账簿、记账凭证、报表和其他有关资料时，应当向被查对象出具《调取账簿资料通知书》，并填写《调取账簿资料清单》交其核对后签章确认。必要时，经县以上税务局（分局）局长批准，可以将纳税人、扣缴义务人以前会计年度的账簿、记账凭证、报表和其他有关资料调回税务机关检查，并在3个月内完整退还；有特殊情况的，经设区的市、自治州以上税务局局长批准，可以将纳税人、扣缴义务人当年的账簿、记账凭证、报表和其他有关资料调回检查，但是税务机关必须在30日内退还。调取账簿等有关资料，应当向纳税人、扣缴义务人开付清单；</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机关在发票管理中，有权检查印制、领用、开具、取得、保管和缴销发票的情况；查阅、复制与发票有关的凭证、资料；需要将已开具的发票或空白发票调出查验时，应当开具发票换票证或收据；经查无问题的，应当及时退还；</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6.单位和个人从中国境外取得的与纳税有关的发票或者凭证，税务机关在纳税审查时有疑义的，可以要求其提供境外公证机构或者注册会计师的确认证明，经税务机关审核认可后，方可作为记账核算的凭证。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1.税务机关根据检查结果，依法制作相关文书送达纳税人、扣缴义务人执行，并告知其权利救济途径和期限；</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3.税务机关应当按规定向社会公布重大税收违法失信案件信息。</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三、部门间职责衔接</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向社会公布重大税收违法失信案件信息，并将信息通报相关部门，共同实施严格监管和联合惩戒。</w:t>
            </w: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1.利用职务上的便利，收受或索取纳税人、扣缴义务人财物或谋取不正当利益的；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4.对控告、检举税收违法行为的纳税人、扣缴义务人以及其他检举人进行打击报复的；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5.税务人员未按照规定回避的；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6.未按照规定为纳税人、扣缴义务人、检举人保密的；</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7.法律、行政法规等规定的其他不履行或者不正确履行行政职责的情形。</w:t>
            </w:r>
          </w:p>
        </w:tc>
      </w:tr>
      <w:tr>
        <w:tblPrEx>
          <w:tblLayout w:type="fixed"/>
          <w:tblCellMar>
            <w:top w:w="0" w:type="dxa"/>
            <w:left w:w="0" w:type="dxa"/>
            <w:bottom w:w="0" w:type="dxa"/>
            <w:right w:w="0" w:type="dxa"/>
          </w:tblCellMar>
        </w:tblPrEx>
        <w:trPr>
          <w:trHeight w:val="4800" w:hRule="atLeast"/>
        </w:trPr>
        <w:tc>
          <w:tcPr>
            <w:tcW w:w="59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3.1</w:t>
            </w:r>
          </w:p>
        </w:tc>
        <w:tc>
          <w:tcPr>
            <w:tcW w:w="99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税务检查</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3.1.2检查纳税人生产、经营场所和货物存放地</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《中华人民共和国税收征收管理法》第五十四条第二项。</w:t>
            </w:r>
          </w:p>
        </w:tc>
        <w:tc>
          <w:tcPr>
            <w:tcW w:w="122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1.税务机关应当通过官方网站、办税服务场所等渠道公开税务检查的主体、权限、依据、程序、救济渠道、流程图等；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2.税务机关应当统筹安排检查工作，严格控制对纳税人、扣缴义务人的检查次数；</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3.税务机关实施检查应当2人以上，出示税务检查证和税务检查通知书，并为其保守秘密；税务机关对集贸市场及集中经营业户进行检查时，可以使用统一的税务检查通知书；</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4.检查人员实地调查取证时，可以制作现场笔录、勘验笔录，对实地检查情况予以记录或者说明。</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1.税务机关根据检查结果，依法制作相关文书送达纳税人、扣缴义务人执行，并告知其权利救济途径和期限；</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3.税务机关应当按规定向社会公布重大税收违法失信案件信息。</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三、部门间职责衔接</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向社会公布重大税收违法失信案件信息，并将信息通报相关部门，共同实施严格监管和联合惩戒。</w:t>
            </w: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1.利用职务上的便利，收受或索取纳税人、扣缴义务人财物或谋取不正当利益的；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4.对控告、检举税收违法行为的纳税人、扣缴义务人以及其他检举人进行打击报复的；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5.税务人员未按照规定回避的；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6.未按照规定为纳税人、扣缴义务人、检举人保密的；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5100" w:hRule="atLeast"/>
        </w:trPr>
        <w:tc>
          <w:tcPr>
            <w:tcW w:w="59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24"/>
              </w:rPr>
            </w:pPr>
          </w:p>
        </w:tc>
        <w:tc>
          <w:tcPr>
            <w:tcW w:w="99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eastAsia="宋体" w:cs="宋体"/>
                <w:color w:val="000000"/>
                <w:sz w:val="24"/>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3.1.3责成纳税人、扣缴义务人提供文件、证明材料和有关资料</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《中华人民共和国税收征收管理法》第五十四条第三项。</w:t>
            </w:r>
          </w:p>
        </w:tc>
        <w:tc>
          <w:tcPr>
            <w:tcW w:w="122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1.税务机关应当通过官方网站、办税服务场所等渠道公开税务检查的主体、权限、依据、程序、救济渠道、流程图等；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2.税务机关应当统筹安排检查工作，严格控制对纳税人、扣缴义务人的检查次数；</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3.税务机关实施检查应当2人以上，出示税务检查证和税务检查通知书，并为其保守秘密；税务机关对集贸市场及集中经营业户进行检查时，可以使用统一的税务检查通知书；</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4.税务机关制发相关税务文书，责成纳税人、扣缴义务人提供文件、证明材料和有关资料，并送达给纳税人或者扣缴义务人。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1.税务机关根据检查结果，依法制作相关文书送达纳税人、扣缴义务人执行，并告知其权利救济途径和期限；</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3.税务机关应当按规定向社会公布重大税收违法失信案件信息。</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三、部门间职责衔接</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向社会公布重大税收违法失信案件信息，并将信息通报相关部门，共同实施严格监管和联合惩戒。</w:t>
            </w: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1.利用职务上的便利，收受或索取纳税人、扣缴义务人财物或谋取不正当利益的；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4.对控告、检举税收违法行为的纳税人、扣缴义务人以及其他检举人进行打击报复的；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5.税务人员未按照规定回避的；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6.未按照规定为纳税人、扣缴义务人、检举人保密的；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5100" w:hRule="atLeast"/>
        </w:trPr>
        <w:tc>
          <w:tcPr>
            <w:tcW w:w="59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3.1</w:t>
            </w:r>
          </w:p>
        </w:tc>
        <w:tc>
          <w:tcPr>
            <w:tcW w:w="99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税务检查</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3.1.4询问纳税人、扣缴义务人有关问题和情况</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1.《中华人民共和国税收征收管理法》第五十四条第四项。</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2.《中华人民共和国发票管理办法》第三十条第四项。</w:t>
            </w:r>
          </w:p>
        </w:tc>
        <w:tc>
          <w:tcPr>
            <w:tcW w:w="122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1.税务机关应当通过官方网站、办税服务场所等渠道公开税务检查的主体、权限、依据、程序、救济渠道、流程图等；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2.税务机关应当统筹安排检查工作，严格控制对纳税人、扣缴义务人的检查次数；</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实施检查应当2人以上，出示税务检查证和税务检查通知书，告知被检查人享有的权利和义务并为其保守秘密；税务机关对集贸市场及集中经营业户进行检查时，可以使用统一的税务检查通知书；除在被查对象生产、经营场所询问外，应当向被询问人送达《询问通知书》；</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4.询问时应当告知被询问人如实回答问题，并按规定制作询问笔录。</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1.税务机关根据检查结果，依法制作相关文书送达纳税人、扣缴义务人执行，并告知其权利救济途径和期限；</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3.税务机关应当按规定向社会公布重大税收违法失信案件信息。</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三、部门间职责衔接</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向社会公布重大税收违法失信案件信息，并将信息通报相关部门，共同实施严格监管和联合惩戒。</w:t>
            </w: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1.利用职务上的便利，收受或索取纳税人、扣缴义务人财物或谋取不正当利益的；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4.对控告、检举税收违法行为的纳税人、扣缴义务人以及其他检举人进行打击报复的；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5.未按照规定为纳税人、扣缴义务人、检举人保密的；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6.税务人员未按照规定回避的；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200" w:hRule="atLeast"/>
        </w:trPr>
        <w:tc>
          <w:tcPr>
            <w:tcW w:w="59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24"/>
              </w:rPr>
            </w:pPr>
          </w:p>
        </w:tc>
        <w:tc>
          <w:tcPr>
            <w:tcW w:w="99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eastAsia="宋体" w:cs="宋体"/>
                <w:color w:val="000000"/>
                <w:sz w:val="24"/>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3.1.5到车站、码头、机场、邮政企业及其分支机构检查有关单据、凭证和有关资料</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《中华人民共和国税收征收管理法》第五十四条第五项。</w:t>
            </w:r>
          </w:p>
        </w:tc>
        <w:tc>
          <w:tcPr>
            <w:tcW w:w="122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1.税务机关应当通过官方网站、办税服务场所等渠道公开税务检查的主体、权限、依据、程序、救济渠道、流程图等；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2.税务机关实施检查应当2人以上，出示税务检查证和税务检查通知书，告知被检查人享有的权利和义务并为其保守秘密；</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3.检查人员实地调查取证时，可以制作现场笔录、勘验笔录，对实地检查情况予以记录或者说明。</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1.税务机关根据检查结果，依法制作相关文书送达纳税人、扣缴义务人执行，并告知其权利救济途径和期限；</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3.税务机关应当按规定向社会公布重大税收违法失信案件信息。</w:t>
            </w: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1.利用职务上的便利，收受或索取纳税人、扣缴义务人财物或谋取不正当利益的；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4.对控告、检举税收违法行为的纳税人、扣缴义务人以及其他检举人进行打击报复的；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5.税务人员未按照规定回避的；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6.未按照规定为纳税人、扣缴义务人、检举人保密的；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4800" w:hRule="atLeast"/>
        </w:trPr>
        <w:tc>
          <w:tcPr>
            <w:tcW w:w="59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3.1</w:t>
            </w:r>
          </w:p>
        </w:tc>
        <w:tc>
          <w:tcPr>
            <w:tcW w:w="99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税务检查</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3.1.6查询从事生产经营纳税人、扣缴义务人存款账户或查询案件涉嫌人员的储蓄存款</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《中华人民共和国税收征收管理法》第五十四条第六项。</w:t>
            </w:r>
          </w:p>
        </w:tc>
        <w:tc>
          <w:tcPr>
            <w:tcW w:w="122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1.税务机关应当通过官方网站、办税服务场所等渠道公开税务检查的主体、权限、依据、程序、救济渠道、流程图等；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2.税务机关实施检查应当2人以上，出示税务检查证和税务检查通知书，告知被检查人享有的权利和义务并为其保守秘密；</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经县以上税务局（分局）局长批准，凭全国统一格式的检查存款账户许可证明，查询从事生产、经营的纳税人、扣缴义务人在银行或者其他金融机构的存款账户。税务机关在调查税收违法案件时，经设区的市、自治州以上税务局（分局）局长批准，可以查询案件涉嫌人员的储蓄存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4.税务机关查询所获得的资料，不得用于税收以外的用途。</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1.税务机关根据检查结果，依法制作相关文书送达纳税人、扣缴义务人执行，并告知其权利救济途径和期限；</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3.税务机关应当按规定向社会公布重大税收违法失信案件信息。</w:t>
            </w: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1.利用职务上的便利，收受或索取纳税人、扣缴义务人财物或谋取不正当利益的；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4.对控告、检举税收违法行为的纳税人、扣缴义务人以及其他检举人进行打击报复的；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5.税务人员未按照规定回避的；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6.未按照规定为纳税人、扣缴义务人、检举人保密的；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5700" w:hRule="atLeast"/>
        </w:trPr>
        <w:tc>
          <w:tcPr>
            <w:tcW w:w="59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24"/>
              </w:rPr>
            </w:pPr>
          </w:p>
        </w:tc>
        <w:tc>
          <w:tcPr>
            <w:tcW w:w="99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eastAsia="宋体" w:cs="宋体"/>
                <w:color w:val="000000"/>
                <w:sz w:val="24"/>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3.1.7向有关单位和个人调查与纳税或代扣代缴、代收代缴税款有关情况</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《中华人民共和国税收征收管理法》第五十七条。</w:t>
            </w:r>
          </w:p>
        </w:tc>
        <w:tc>
          <w:tcPr>
            <w:tcW w:w="122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1.税务机关应当通过官方网站、办税服务场所等渠道公开税务检查的主体、权限、依据、程序、救济渠道、流程图等；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2.税务机关应当统筹安排检查工作，严格控制对纳税人、扣缴义务人的检查次数；</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3.税务机关实施检查应当2人以上，出示税务检查证和税务检查通知书，告知被检查人享有的权利和义务并为其保守秘密；税务机关对集贸市场及集中经营业户进行检查时，可以使用统一的税务检查通知书；</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4.税务机关依法进行税务检查时,有权向有关单位和个人调查纳税人、扣缴义务人和其他当事人与纳税或者代扣代缴、代收代缴税款有关的情况,有关单位和个人有义务向税务机关如实提供有关资料及证明材料。</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1.税务机关根据检查结果，依法制作相关文书送达纳税人、扣缴义务人执行，并告知其权利救济途径和期限；</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3.税务机关应当按规定向社会公布重大税收违法失信案件信息。</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三、部门间职责衔接</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向社会公布重大税收违法失信案件信息，并将信息通报相关部门，共同实施严格监管和联合惩戒。</w:t>
            </w: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1.利用职务上的便利，收受或索取纳税人、扣缴义务人财物或谋取不正当利益的；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4.对控告、检举税收违法行为的纳税人、扣缴义务人以及其他检举人进行打击报复的；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5.未按照规定为纳税人、扣缴义务人、检举人保密的；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6.税务人员未按照规定回避的；</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7.法律、行政法规等规定的其他不履行或者不正确履行行政职责的情形。</w:t>
            </w:r>
          </w:p>
        </w:tc>
      </w:tr>
      <w:tr>
        <w:tblPrEx>
          <w:tblLayout w:type="fixed"/>
          <w:tblCellMar>
            <w:top w:w="0" w:type="dxa"/>
            <w:left w:w="0" w:type="dxa"/>
            <w:bottom w:w="0" w:type="dxa"/>
            <w:right w:w="0" w:type="dxa"/>
          </w:tblCellMar>
        </w:tblPrEx>
        <w:trPr>
          <w:trHeight w:val="5004"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rPr>
              <w:t>3.1</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eastAsia="宋体" w:cs="宋体"/>
                <w:color w:val="000000"/>
                <w:sz w:val="24"/>
              </w:rPr>
            </w:pPr>
            <w:r>
              <w:rPr>
                <w:rFonts w:hint="eastAsia" w:ascii="宋体" w:hAnsi="宋体" w:eastAsia="宋体" w:cs="宋体"/>
                <w:color w:val="000000"/>
                <w:sz w:val="24"/>
              </w:rPr>
              <w:t>税务检查</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3.1.8记录、录音、录像、照相和复制</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《中华人民共和国税收征收管理法》第五十八条。</w:t>
            </w:r>
          </w:p>
        </w:tc>
        <w:tc>
          <w:tcPr>
            <w:tcW w:w="122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1.税务机关应当通过官方网站、办税服务场所等渠道公开税务检查的主体、权限、依据、程序、救济渠道、流程图等；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2.税务机关实施检查应当2人以上，出示税务检查证和税务检查通知书，告知被检查人享有的权利和义务并为其保守秘密；</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3.税务机关调查税务违法案件时，对与案件有关的情况和资料，可以按照规定程序记录、录音、录像、照相和复制，收集能够证明案件事实的证据材料；</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4.税务机关不得以偷拍、偷录、窃听等手段获取侵害他人合法权益的证据材料；不得以利诱、欺诈、胁迫、暴力等不正当手段获取证据材料。</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1.税务机关根据检查结果，依法制作相关文书送达纳税人、扣缴义务人执行，并告知其权利救济途径和期限；</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3.税务机关应当按规定向社会公布重大税收违法失信案件信息。</w:t>
            </w: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1.利用职务上的便利，收受或索取纳税人、扣缴义务人财物或谋取不正当利益的；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4.对控告、检举税收违法行为的纳税人、扣缴义务人以及其他检举人进行打击报复的；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5.税务人员未按照规定回避的；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6.未按照规定为纳税人、扣缴义务人、检举人保密的；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7.法律、行政法规等规定的其他不履行或者不正确履行行政职责的情形。</w:t>
            </w:r>
          </w:p>
          <w:p>
            <w:pPr>
              <w:widowControl/>
              <w:jc w:val="left"/>
              <w:textAlignment w:val="center"/>
              <w:rPr>
                <w:rFonts w:ascii="宋体" w:hAnsi="宋体" w:eastAsia="宋体" w:cs="宋体"/>
                <w:color w:val="000000"/>
                <w:kern w:val="0"/>
                <w:sz w:val="24"/>
              </w:rPr>
            </w:pPr>
          </w:p>
        </w:tc>
      </w:tr>
      <w:tr>
        <w:tblPrEx>
          <w:tblLayout w:type="fixed"/>
          <w:tblCellMar>
            <w:top w:w="0" w:type="dxa"/>
            <w:left w:w="0" w:type="dxa"/>
            <w:bottom w:w="0" w:type="dxa"/>
            <w:right w:w="0" w:type="dxa"/>
          </w:tblCellMar>
        </w:tblPrEx>
        <w:trPr>
          <w:trHeight w:val="192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3.2</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特别纳税调整</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eastAsia="宋体" w:cs="宋体"/>
                <w:color w:val="000000"/>
                <w:kern w:val="0"/>
                <w:sz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1.《中华人民共和国税收征收管理法》第三十六条。</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2.《中华人民共和国企业所得税法》第四十一条、第四十二条、第四十四条、第四十七条。</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3.《中华人民共和国企业所得税法实施条例》第一百二十三条。</w:t>
            </w:r>
          </w:p>
        </w:tc>
        <w:tc>
          <w:tcPr>
            <w:tcW w:w="122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1.税务机关应当通过网站或办税服务场等渠道公开特别纳税调整的主体、权限、依据、程序、报送资料、救济渠道、流程图等；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通过关联申报审核、同期资料管理和利润水平监控等手段，对企业实施特别纳税调整监控管理，发现企业存在特别纳税调整风险的，可以向企业送达《税务事项通知书》，提示其存在的税收风险。企业要求税务机关确认关联交易定价原则和方法等特别纳税调整事项的，税务机关应当启动特别纳税调查程序；</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3.税务机关实施特别纳税调整调查时，应当按照法定权限和程序进行，收集证据材料；</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4.经调查，税务机关未发现企业存在特别纳税调整问题的，应当作出特别纳税调查结论，并向企业送达《特别纳税调查结论通知书》。发现企业存在特别纳税调整问题的，按照规定程序实施调整，向企业送达</w:t>
            </w:r>
            <w:r>
              <w:rPr>
                <w:rFonts w:hint="eastAsia" w:ascii="宋体" w:hAnsi="宋体" w:cs="宋体"/>
                <w:color w:val="000000"/>
                <w:kern w:val="0"/>
                <w:sz w:val="24"/>
              </w:rPr>
              <w:t>《特别纳税调查调整通知书》</w:t>
            </w:r>
            <w:r>
              <w:rPr>
                <w:rFonts w:hint="eastAsia" w:ascii="宋体" w:hAnsi="宋体" w:eastAsia="宋体" w:cs="宋体"/>
                <w:color w:val="000000"/>
                <w:kern w:val="0"/>
                <w:sz w:val="24"/>
              </w:rPr>
              <w:t>，并告知救济权利、途径和期限；</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5.税务机关对企业作出特别纳税调整的，应当对补征的税款，按规定加收利息，并及时足额入库；</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预约定价安排适用于主管税务机关向企业送达接收其谈签意向的《税务事项通知书》之日所属纳税年度起3至5个年度的关联交易。企业以前年度的关联交易与预约定价安排适用年度相同或者类似的，经企业申请，税务机关可以将预约定价安排确定的定价原则和计算方法追溯适用于以前年度该关联交易的评估和调整。追溯期最长为10年；</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税务机关与企业在预约定价安排谈签过程中取得的所有信息资料，双方均负有保密义务。税务机关与企业不能达成预约定价安排的，税务机关在协商过程中所取得的有关企业的提议、推理、观念和判断等非事实性信息，不得用于对该预约定价安排涉及关联交易的特别纳税调查调整。</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1.预约定价安排执行期间，主管税务机关应当每年监控企业执行预约定价安排的情况；</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应当监控预约定价安排的执行情况，根据实质性变化对预约定价安排的影响程度，按照规定的程序和要求，修订或者终止预约定价安排。预约定价安排执行期满后自动失效，企业申请续签的，税务机关应当按照规定处理；</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没有按照规定的权限和程序签署预约定价安排，或者税务机关发现企业隐瞒事实的，应当认定预约定价安排自始无效；发现企业拒不执行预约定价安排或者存在违反预约定价安排的其他情况，可以视情况进行处理，直至终止预约定价安排；</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4.税务机关应当加强成本分摊协议的后续管理，对不符合独立交易原则和成本与收益相匹配原则的成本分摊协议，实施特别纳税调查调整。</w:t>
            </w:r>
          </w:p>
        </w:tc>
        <w:tc>
          <w:tcPr>
            <w:tcW w:w="451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1.利用职务上的便利，收受或索取纳税人、扣缴义务人财物或谋取不正当利益的；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4.对控告、检举税收违法行为的纳税人、扣缴义务人以及其他检举人进行打击报复的；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5.税务人员未按照规定回避的；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6.未按照规定为纳税人、扣缴义务人、检举人保密的；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7.法律、行政法规等规定的其他不履行或者不正确履行行政职责的情形。</w:t>
            </w:r>
          </w:p>
        </w:tc>
      </w:tr>
    </w:tbl>
    <w:p>
      <w:pPr>
        <w:jc w:val="left"/>
        <w:rPr>
          <w:rFonts w:ascii="宋体" w:hAnsi="宋体" w:eastAsia="宋体" w:cs="宋体"/>
          <w:color w:val="000000"/>
          <w:sz w:val="24"/>
        </w:rPr>
      </w:pPr>
      <w:r>
        <w:rPr>
          <w:rFonts w:hint="eastAsia" w:ascii="宋体" w:hAnsi="宋体" w:eastAsia="宋体" w:cs="宋体"/>
          <w:color w:val="000000"/>
          <w:sz w:val="24"/>
        </w:rPr>
        <w:br w:type="page"/>
      </w:r>
    </w:p>
    <w:p>
      <w:pPr>
        <w:jc w:val="center"/>
        <w:rPr>
          <w:rFonts w:ascii="楷体_GB2312" w:hAnsi="楷体" w:eastAsia="楷体_GB2312" w:cs="楷体"/>
          <w:b/>
          <w:bCs/>
          <w:sz w:val="32"/>
          <w:szCs w:val="32"/>
        </w:rPr>
      </w:pPr>
      <w:r>
        <w:rPr>
          <w:rFonts w:hint="eastAsia" w:ascii="楷体_GB2312" w:hAnsi="楷体" w:eastAsia="楷体_GB2312" w:cs="楷体"/>
          <w:b/>
          <w:bCs/>
          <w:sz w:val="32"/>
          <w:szCs w:val="32"/>
        </w:rPr>
        <w:t>（四）行政处罚</w:t>
      </w:r>
    </w:p>
    <w:tbl>
      <w:tblPr>
        <w:tblStyle w:val="7"/>
        <w:tblW w:w="20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2"/>
        <w:gridCol w:w="857"/>
        <w:gridCol w:w="858"/>
        <w:gridCol w:w="1196"/>
        <w:gridCol w:w="12412"/>
        <w:gridCol w:w="46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blHeader/>
        </w:trPr>
        <w:tc>
          <w:tcPr>
            <w:tcW w:w="762" w:type="dxa"/>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序号</w:t>
            </w:r>
          </w:p>
        </w:tc>
        <w:tc>
          <w:tcPr>
            <w:tcW w:w="857" w:type="dxa"/>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职权</w:t>
            </w:r>
          </w:p>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名称</w:t>
            </w:r>
          </w:p>
        </w:tc>
        <w:tc>
          <w:tcPr>
            <w:tcW w:w="858" w:type="dxa"/>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子项</w:t>
            </w:r>
          </w:p>
        </w:tc>
        <w:tc>
          <w:tcPr>
            <w:tcW w:w="1196" w:type="dxa"/>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设定依据</w:t>
            </w:r>
          </w:p>
        </w:tc>
        <w:tc>
          <w:tcPr>
            <w:tcW w:w="12412" w:type="dxa"/>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履责方式</w:t>
            </w:r>
          </w:p>
        </w:tc>
        <w:tc>
          <w:tcPr>
            <w:tcW w:w="4662" w:type="dxa"/>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追责情形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00" w:hRule="atLeast"/>
        </w:trPr>
        <w:tc>
          <w:tcPr>
            <w:tcW w:w="76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4.1</w:t>
            </w:r>
          </w:p>
        </w:tc>
        <w:tc>
          <w:tcPr>
            <w:tcW w:w="85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对违反税务登记规定的处罚</w:t>
            </w:r>
          </w:p>
        </w:tc>
        <w:tc>
          <w:tcPr>
            <w:tcW w:w="858"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4.1.1</w:t>
            </w:r>
            <w:r>
              <w:rPr>
                <w:rFonts w:hint="eastAsia" w:ascii="宋体" w:hAnsi="宋体" w:cs="宋体"/>
                <w:color w:val="000000"/>
                <w:kern w:val="0"/>
                <w:sz w:val="24"/>
              </w:rPr>
              <w:t>对未按照规定期限办理税务登记、变更或者注销税务登记，未按照规定报告银行账号的处罚</w:t>
            </w:r>
          </w:p>
        </w:tc>
        <w:tc>
          <w:tcPr>
            <w:tcW w:w="119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《中华人民共和国税收征收管理法》第六十条第一款第一、四项。</w:t>
            </w:r>
          </w:p>
        </w:tc>
        <w:tc>
          <w:tcPr>
            <w:tcW w:w="1241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3.税务机关应当依法责令当事人改正或者限期改正违法行为；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66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00" w:hRule="atLeast"/>
        </w:trPr>
        <w:tc>
          <w:tcPr>
            <w:tcW w:w="76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4.1</w:t>
            </w:r>
          </w:p>
        </w:tc>
        <w:tc>
          <w:tcPr>
            <w:tcW w:w="85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对违反税务登记规定的处罚</w:t>
            </w:r>
          </w:p>
        </w:tc>
        <w:tc>
          <w:tcPr>
            <w:tcW w:w="858"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4.1.2</w:t>
            </w:r>
            <w:r>
              <w:rPr>
                <w:rFonts w:hint="eastAsia" w:ascii="宋体" w:hAnsi="宋体" w:cs="宋体"/>
                <w:color w:val="000000"/>
                <w:kern w:val="0"/>
                <w:sz w:val="24"/>
              </w:rPr>
              <w:t>对未按照规定使用税务登记证件或者转借、涂改、损毁、买卖、伪造税务登记证件的处罚</w:t>
            </w:r>
          </w:p>
        </w:tc>
        <w:tc>
          <w:tcPr>
            <w:tcW w:w="119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《中华人民共和国税收征收管理法》第六十条第三款。</w:t>
            </w:r>
          </w:p>
        </w:tc>
        <w:tc>
          <w:tcPr>
            <w:tcW w:w="1241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66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00" w:hRule="atLeast"/>
        </w:trPr>
        <w:tc>
          <w:tcPr>
            <w:tcW w:w="76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4.1</w:t>
            </w:r>
          </w:p>
        </w:tc>
        <w:tc>
          <w:tcPr>
            <w:tcW w:w="85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对违反税务登记规定的处罚</w:t>
            </w:r>
          </w:p>
        </w:tc>
        <w:tc>
          <w:tcPr>
            <w:tcW w:w="858"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4.1.3</w:t>
            </w:r>
            <w:r>
              <w:rPr>
                <w:rFonts w:hint="eastAsia" w:ascii="宋体" w:hAnsi="宋体" w:cs="宋体"/>
                <w:color w:val="000000"/>
                <w:kern w:val="0"/>
                <w:sz w:val="24"/>
              </w:rPr>
              <w:t>对未按照规定办理税务登记证件验证或者换证手续的处罚</w:t>
            </w:r>
          </w:p>
        </w:tc>
        <w:tc>
          <w:tcPr>
            <w:tcW w:w="119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《中华人民共和国税收征收管理法实施细则》第九十条。</w:t>
            </w:r>
          </w:p>
        </w:tc>
        <w:tc>
          <w:tcPr>
            <w:tcW w:w="1241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3.税务机关应当依法责令当事人改正或者限期改正违法行为；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66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00" w:hRule="atLeast"/>
        </w:trPr>
        <w:tc>
          <w:tcPr>
            <w:tcW w:w="76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4.1</w:t>
            </w:r>
          </w:p>
        </w:tc>
        <w:tc>
          <w:tcPr>
            <w:tcW w:w="85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对违反税务登记规定的处罚</w:t>
            </w:r>
          </w:p>
        </w:tc>
        <w:tc>
          <w:tcPr>
            <w:tcW w:w="858"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4.1.4对银行和其他金融机构未依法在从事生产、经营的纳税人的账户中登录税务登记证件号码，或者未按规定在税务登记证件中登录从事生产、经营的纳税人的账户账号的处罚</w:t>
            </w:r>
          </w:p>
        </w:tc>
        <w:tc>
          <w:tcPr>
            <w:tcW w:w="119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《中华人民共和国税收征收管理法实施细则》第九十二条。</w:t>
            </w:r>
          </w:p>
        </w:tc>
        <w:tc>
          <w:tcPr>
            <w:tcW w:w="1241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3.税务机关应当依法责令当事人改正或者限期改正违法行为；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66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00" w:hRule="atLeast"/>
        </w:trPr>
        <w:tc>
          <w:tcPr>
            <w:tcW w:w="76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4.1</w:t>
            </w:r>
          </w:p>
        </w:tc>
        <w:tc>
          <w:tcPr>
            <w:tcW w:w="85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对违反税务登记规定的处罚</w:t>
            </w:r>
          </w:p>
        </w:tc>
        <w:tc>
          <w:tcPr>
            <w:tcW w:w="858"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4.1.5对纳税人不办理税务登记的处罚</w:t>
            </w:r>
          </w:p>
        </w:tc>
        <w:tc>
          <w:tcPr>
            <w:tcW w:w="119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1.《中华人民共和国行政处罚法》第十二条第二款。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2.《税务登记管理办法》（国家税务总局令第7号公布，国家税务总局令第36号、第44号、第48号修改）第四十条。</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3.《中华人民共和国税收征收管理法》第六十条第一款。</w:t>
            </w:r>
          </w:p>
        </w:tc>
        <w:tc>
          <w:tcPr>
            <w:tcW w:w="1241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3.税务机关应当依法责令当事人改正或者限期改正违法行为；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66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00" w:hRule="atLeast"/>
        </w:trPr>
        <w:tc>
          <w:tcPr>
            <w:tcW w:w="76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4.1</w:t>
            </w:r>
          </w:p>
        </w:tc>
        <w:tc>
          <w:tcPr>
            <w:tcW w:w="85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对违反税务登记规定的处罚</w:t>
            </w:r>
          </w:p>
        </w:tc>
        <w:tc>
          <w:tcPr>
            <w:tcW w:w="858"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4.1.6对纳税人通过提供虚假的证明资料等手段，骗取税务登记证的处罚</w:t>
            </w:r>
          </w:p>
        </w:tc>
        <w:tc>
          <w:tcPr>
            <w:tcW w:w="119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1.《中华人民共和国行政处罚法》第十二条第二款。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2.《税务登记管理办法》（国家税务总局令第7号公布，国家税务总局令第36号、第44号、第48号修改）第四十一条。</w:t>
            </w:r>
          </w:p>
        </w:tc>
        <w:tc>
          <w:tcPr>
            <w:tcW w:w="1241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66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00" w:hRule="atLeast"/>
        </w:trPr>
        <w:tc>
          <w:tcPr>
            <w:tcW w:w="76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4.1</w:t>
            </w:r>
          </w:p>
        </w:tc>
        <w:tc>
          <w:tcPr>
            <w:tcW w:w="85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对违反税务登记规定的处罚</w:t>
            </w:r>
          </w:p>
        </w:tc>
        <w:tc>
          <w:tcPr>
            <w:tcW w:w="858"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4.1.7对扣缴义务人未按照规定办理扣缴税款登记的处罚</w:t>
            </w:r>
          </w:p>
        </w:tc>
        <w:tc>
          <w:tcPr>
            <w:tcW w:w="119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1.《中华人民共和国行政处罚法》第十二条第二款。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2.《税务登记管理办法》（国家税务总局令第7号公布，国家税务总局令第36号、第44号、第48号修改）第四十二条。</w:t>
            </w:r>
          </w:p>
        </w:tc>
        <w:tc>
          <w:tcPr>
            <w:tcW w:w="1241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3.税务机关应当依法责令当事人改正或者限期改正违法行为；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66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00" w:hRule="atLeast"/>
        </w:trPr>
        <w:tc>
          <w:tcPr>
            <w:tcW w:w="76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4.1</w:t>
            </w:r>
          </w:p>
        </w:tc>
        <w:tc>
          <w:tcPr>
            <w:tcW w:w="85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对违反税务登记规定的处罚</w:t>
            </w:r>
          </w:p>
        </w:tc>
        <w:tc>
          <w:tcPr>
            <w:tcW w:w="858"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4.1.8对境内机构或个人发包工程作业或劳务项目，未按规定向主管税务机关报告有关事项的处罚</w:t>
            </w:r>
          </w:p>
        </w:tc>
        <w:tc>
          <w:tcPr>
            <w:tcW w:w="119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1.《中华人民共和国行政处罚法》第十二条第二款。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2.《非居民承包工程作业和提供劳务税收管理暂行办法》（国家税务总局令第19号公布）第三十三条。</w:t>
            </w:r>
          </w:p>
        </w:tc>
        <w:tc>
          <w:tcPr>
            <w:tcW w:w="1241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3.税务机关应当依法责令当事人改正或者限期改正违法行为；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66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00" w:hRule="atLeast"/>
        </w:trPr>
        <w:tc>
          <w:tcPr>
            <w:tcW w:w="76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4.2</w:t>
            </w:r>
          </w:p>
        </w:tc>
        <w:tc>
          <w:tcPr>
            <w:tcW w:w="85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对违反账簿凭证管理规定的处罚</w:t>
            </w:r>
          </w:p>
        </w:tc>
        <w:tc>
          <w:tcPr>
            <w:tcW w:w="858"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4.2.1</w:t>
            </w:r>
            <w:r>
              <w:rPr>
                <w:rFonts w:hint="eastAsia" w:ascii="宋体" w:hAnsi="宋体" w:cs="宋体"/>
                <w:color w:val="000000"/>
                <w:kern w:val="0"/>
                <w:sz w:val="24"/>
              </w:rPr>
              <w:t>对未按照规定设置、保管账簿或者保管记账凭证和有关资料，未按照规定报送财务、会计制度、办法和会计核算软件，未按照规定安装、使用或者损毁、擅自改动税控装置的处罚</w:t>
            </w:r>
          </w:p>
        </w:tc>
        <w:tc>
          <w:tcPr>
            <w:tcW w:w="119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《中华人民共和国税收征收管理法》第六十条第一款第二、三、五项。</w:t>
            </w:r>
          </w:p>
        </w:tc>
        <w:tc>
          <w:tcPr>
            <w:tcW w:w="1241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3.税务机关应当依法责令当事人改正或者限期改正违法行为；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66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00" w:hRule="atLeast"/>
        </w:trPr>
        <w:tc>
          <w:tcPr>
            <w:tcW w:w="76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4.2</w:t>
            </w:r>
          </w:p>
        </w:tc>
        <w:tc>
          <w:tcPr>
            <w:tcW w:w="85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对违反账簿凭证管理规定的处罚</w:t>
            </w:r>
          </w:p>
        </w:tc>
        <w:tc>
          <w:tcPr>
            <w:tcW w:w="858"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4.2.2</w:t>
            </w:r>
            <w:r>
              <w:rPr>
                <w:rFonts w:hint="eastAsia" w:ascii="宋体" w:hAnsi="宋体" w:cs="宋体"/>
                <w:color w:val="000000"/>
                <w:kern w:val="0"/>
                <w:sz w:val="24"/>
              </w:rPr>
              <w:t>对扣缴义务人未按照规定设置、保管代扣代缴、代收代缴税款账簿或者保管代扣代缴、代收代缴税款记账凭证及有关资料的处罚</w:t>
            </w:r>
          </w:p>
        </w:tc>
        <w:tc>
          <w:tcPr>
            <w:tcW w:w="119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《中华人民共和国税收征收管理法》第六十一条。</w:t>
            </w:r>
          </w:p>
        </w:tc>
        <w:tc>
          <w:tcPr>
            <w:tcW w:w="1241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3.税务机关应当依法责令当事人改正或者限期改正违法行为；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66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00" w:hRule="atLeast"/>
        </w:trPr>
        <w:tc>
          <w:tcPr>
            <w:tcW w:w="76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4.2</w:t>
            </w:r>
          </w:p>
        </w:tc>
        <w:tc>
          <w:tcPr>
            <w:tcW w:w="85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对违反账簿凭证管理规定的处罚</w:t>
            </w:r>
          </w:p>
        </w:tc>
        <w:tc>
          <w:tcPr>
            <w:tcW w:w="858"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4.2.3</w:t>
            </w:r>
            <w:r>
              <w:rPr>
                <w:rFonts w:hint="eastAsia" w:ascii="宋体" w:hAnsi="宋体" w:cs="宋体"/>
                <w:color w:val="000000"/>
                <w:kern w:val="0"/>
                <w:sz w:val="24"/>
              </w:rPr>
              <w:t>对非法印制、转借、倒卖、变造或者伪造完税凭证的处罚</w:t>
            </w:r>
          </w:p>
        </w:tc>
        <w:tc>
          <w:tcPr>
            <w:tcW w:w="119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《中华人民共和国税收征收管理法实施细则》第九十一条。</w:t>
            </w:r>
          </w:p>
        </w:tc>
        <w:tc>
          <w:tcPr>
            <w:tcW w:w="1241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3.税务机关应当依法责令当事人改正或者限期改正违法行为；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三、部门间职责衔接</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税务机关对涉嫌犯罪的违法案件，应当依法移送司法机关。</w:t>
            </w:r>
          </w:p>
        </w:tc>
        <w:tc>
          <w:tcPr>
            <w:tcW w:w="466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00" w:hRule="atLeast"/>
        </w:trPr>
        <w:tc>
          <w:tcPr>
            <w:tcW w:w="76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4.3</w:t>
            </w:r>
          </w:p>
        </w:tc>
        <w:tc>
          <w:tcPr>
            <w:tcW w:w="85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对违反纳税申报规定的处罚</w:t>
            </w:r>
          </w:p>
        </w:tc>
        <w:tc>
          <w:tcPr>
            <w:tcW w:w="858"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4.3.1</w:t>
            </w:r>
            <w:r>
              <w:rPr>
                <w:rFonts w:hint="eastAsia" w:ascii="宋体" w:hAnsi="宋体" w:cs="宋体"/>
                <w:color w:val="000000"/>
                <w:kern w:val="0"/>
                <w:sz w:val="24"/>
              </w:rPr>
              <w:t>对未按照规定的期限办理纳税申报和报送申报资料，未按照规定的期限报送代扣代缴、代收代缴税款报告表和有关资料的处罚</w:t>
            </w:r>
          </w:p>
        </w:tc>
        <w:tc>
          <w:tcPr>
            <w:tcW w:w="119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《中华人民共和国税收征收管理法》第六十二条。</w:t>
            </w:r>
          </w:p>
        </w:tc>
        <w:tc>
          <w:tcPr>
            <w:tcW w:w="1241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3.税务机关应当依法责令当事人改正或者限期改正违法行为；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66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00" w:hRule="atLeast"/>
        </w:trPr>
        <w:tc>
          <w:tcPr>
            <w:tcW w:w="76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4.3</w:t>
            </w:r>
          </w:p>
        </w:tc>
        <w:tc>
          <w:tcPr>
            <w:tcW w:w="85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对违反纳税申报规定的处罚</w:t>
            </w:r>
          </w:p>
        </w:tc>
        <w:tc>
          <w:tcPr>
            <w:tcW w:w="858"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4.3.2对纳税人、扣缴义务人编造虚假计税依据的处罚</w:t>
            </w:r>
          </w:p>
        </w:tc>
        <w:tc>
          <w:tcPr>
            <w:tcW w:w="119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《中华人民共和国税收征收管理法》第六十四条第一款。</w:t>
            </w:r>
          </w:p>
        </w:tc>
        <w:tc>
          <w:tcPr>
            <w:tcW w:w="1241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3.税务机关应当依法责令当事人改正或者限期改正违法行为；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66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00" w:hRule="atLeast"/>
        </w:trPr>
        <w:tc>
          <w:tcPr>
            <w:tcW w:w="76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4.4</w:t>
            </w:r>
          </w:p>
        </w:tc>
        <w:tc>
          <w:tcPr>
            <w:tcW w:w="857"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对违反税款征收规定的处罚</w:t>
            </w:r>
          </w:p>
        </w:tc>
        <w:tc>
          <w:tcPr>
            <w:tcW w:w="858"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4.4.1对纳税人不进行纳税申报，不缴或者少缴应纳税款的处罚</w:t>
            </w:r>
          </w:p>
        </w:tc>
        <w:tc>
          <w:tcPr>
            <w:tcW w:w="119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《中华人民共和国税收征收管理法》第六十四条第二款。</w:t>
            </w:r>
          </w:p>
        </w:tc>
        <w:tc>
          <w:tcPr>
            <w:tcW w:w="1241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66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00" w:hRule="atLeast"/>
        </w:trPr>
        <w:tc>
          <w:tcPr>
            <w:tcW w:w="76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4.4</w:t>
            </w:r>
          </w:p>
        </w:tc>
        <w:tc>
          <w:tcPr>
            <w:tcW w:w="857"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对违反税款征收规定的处罚</w:t>
            </w:r>
          </w:p>
        </w:tc>
        <w:tc>
          <w:tcPr>
            <w:tcW w:w="858"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4.4.2对纳税人、扣缴义务人在规定期限内不缴或者少缴应纳或者应解缴的税款，经税务机关责令限期缴纳，逾期仍未缴纳的处罚</w:t>
            </w:r>
          </w:p>
        </w:tc>
        <w:tc>
          <w:tcPr>
            <w:tcW w:w="119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《中华人民共和国税收征收管理法》第六十八条。</w:t>
            </w:r>
          </w:p>
        </w:tc>
        <w:tc>
          <w:tcPr>
            <w:tcW w:w="1241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3.税务机关应当依法责令当事人改正或者限期改正违法行为；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66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00" w:hRule="atLeast"/>
        </w:trPr>
        <w:tc>
          <w:tcPr>
            <w:tcW w:w="76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4.4</w:t>
            </w:r>
          </w:p>
        </w:tc>
        <w:tc>
          <w:tcPr>
            <w:tcW w:w="857"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对违反税款征收规定的处罚</w:t>
            </w:r>
          </w:p>
        </w:tc>
        <w:tc>
          <w:tcPr>
            <w:tcW w:w="858"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4.4.3对扣缴义务人应扣未扣、应收未收税款的处罚</w:t>
            </w:r>
          </w:p>
        </w:tc>
        <w:tc>
          <w:tcPr>
            <w:tcW w:w="119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《中华人民共和国税收征收管理法》第六十九条。</w:t>
            </w:r>
          </w:p>
        </w:tc>
        <w:tc>
          <w:tcPr>
            <w:tcW w:w="1241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66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00" w:hRule="atLeast"/>
        </w:trPr>
        <w:tc>
          <w:tcPr>
            <w:tcW w:w="76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4.4</w:t>
            </w:r>
          </w:p>
        </w:tc>
        <w:tc>
          <w:tcPr>
            <w:tcW w:w="857"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对违反税款征收规定的处罚</w:t>
            </w:r>
          </w:p>
        </w:tc>
        <w:tc>
          <w:tcPr>
            <w:tcW w:w="858"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4.4.4对为纳税人、扣缴义务人非法提供银行账户、发票、证明或者其他方便，导致未缴、少缴税款或者骗取国家出口退税款的处罚</w:t>
            </w:r>
          </w:p>
        </w:tc>
        <w:tc>
          <w:tcPr>
            <w:tcW w:w="119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《中华人民共和国税收征收管理法实施细则》第九十三条。</w:t>
            </w:r>
          </w:p>
        </w:tc>
        <w:tc>
          <w:tcPr>
            <w:tcW w:w="1241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66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00" w:hRule="atLeast"/>
        </w:trPr>
        <w:tc>
          <w:tcPr>
            <w:tcW w:w="76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4.4</w:t>
            </w:r>
          </w:p>
        </w:tc>
        <w:tc>
          <w:tcPr>
            <w:tcW w:w="857"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对违反税款征收规定的处罚</w:t>
            </w:r>
          </w:p>
        </w:tc>
        <w:tc>
          <w:tcPr>
            <w:tcW w:w="858"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4.4.5对纳税人拒绝代扣、代收税款以及拒不缴纳税款的处罚</w:t>
            </w:r>
          </w:p>
        </w:tc>
        <w:tc>
          <w:tcPr>
            <w:tcW w:w="119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1.《中华人民共和国税收征收管理法》第六十八条。</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2.《中华人民共和国税收征收管理法实施细则》第九十四条。</w:t>
            </w:r>
          </w:p>
        </w:tc>
        <w:tc>
          <w:tcPr>
            <w:tcW w:w="1241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3.税务机关应当依法责令当事人改正或者限期改正违法行为；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66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00" w:hRule="atLeast"/>
        </w:trPr>
        <w:tc>
          <w:tcPr>
            <w:tcW w:w="76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4.4</w:t>
            </w:r>
          </w:p>
        </w:tc>
        <w:tc>
          <w:tcPr>
            <w:tcW w:w="857"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对违反税款征收规定的处罚</w:t>
            </w:r>
          </w:p>
        </w:tc>
        <w:tc>
          <w:tcPr>
            <w:tcW w:w="858"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4.4.6对税务代理人违反税收法律、行政法规，造成纳税人未缴或者少缴税款的处罚</w:t>
            </w:r>
          </w:p>
        </w:tc>
        <w:tc>
          <w:tcPr>
            <w:tcW w:w="119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《中华人民共和国税收征收管理法实施细则》第九十八条。</w:t>
            </w:r>
          </w:p>
        </w:tc>
        <w:tc>
          <w:tcPr>
            <w:tcW w:w="1241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66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00" w:hRule="atLeast"/>
        </w:trPr>
        <w:tc>
          <w:tcPr>
            <w:tcW w:w="76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4.5</w:t>
            </w:r>
          </w:p>
        </w:tc>
        <w:tc>
          <w:tcPr>
            <w:tcW w:w="85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对违反税务检查管理的处罚</w:t>
            </w:r>
          </w:p>
        </w:tc>
        <w:tc>
          <w:tcPr>
            <w:tcW w:w="858"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4.5.1对纳税人、扣缴义务人逃避、拒绝或者以其他方式阻挠税务机关检查的处罚</w:t>
            </w:r>
          </w:p>
        </w:tc>
        <w:tc>
          <w:tcPr>
            <w:tcW w:w="119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1.《中华人民共和国税收征收管理法》第七十条。</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2.《中华人民共和国税收征收管理法实施细则》第九十六条。</w:t>
            </w:r>
          </w:p>
        </w:tc>
        <w:tc>
          <w:tcPr>
            <w:tcW w:w="1241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3.税务机关应当依法责令当事人改正或者限期改正违法行为；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66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00" w:hRule="atLeast"/>
        </w:trPr>
        <w:tc>
          <w:tcPr>
            <w:tcW w:w="76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4.5</w:t>
            </w:r>
          </w:p>
        </w:tc>
        <w:tc>
          <w:tcPr>
            <w:tcW w:w="85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对违反税务检查管理的处罚</w:t>
            </w:r>
          </w:p>
        </w:tc>
        <w:tc>
          <w:tcPr>
            <w:tcW w:w="858"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4.5.2对有关单位拒绝税务机关依照税收征管法第五十四条第（五）项的规定，到车站、码头、机场、邮政企业及其分支机构检查纳税人有关情况的处罚</w:t>
            </w:r>
          </w:p>
        </w:tc>
        <w:tc>
          <w:tcPr>
            <w:tcW w:w="119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《中华人民共和国税收征收管理法实施细则》第九十五条。</w:t>
            </w:r>
          </w:p>
        </w:tc>
        <w:tc>
          <w:tcPr>
            <w:tcW w:w="1241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3.税务机关应当依法责令当事人改正或者限期改正违法行为；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66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00" w:hRule="atLeast"/>
        </w:trPr>
        <w:tc>
          <w:tcPr>
            <w:tcW w:w="76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4.6</w:t>
            </w:r>
          </w:p>
        </w:tc>
        <w:tc>
          <w:tcPr>
            <w:tcW w:w="85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对违反发票及票证管理规定的处罚</w:t>
            </w:r>
          </w:p>
        </w:tc>
        <w:tc>
          <w:tcPr>
            <w:tcW w:w="858"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4.6.1</w:t>
            </w:r>
            <w:r>
              <w:rPr>
                <w:rFonts w:hint="eastAsia" w:ascii="宋体" w:hAnsi="宋体" w:cs="宋体"/>
                <w:color w:val="000000"/>
                <w:kern w:val="0"/>
                <w:sz w:val="24"/>
              </w:rPr>
              <w:t>对未按照规定开具、使用、缴销、存放、保管发票，未按照规定报备非税控电子器具使用的软件程序说明资料，未按照规定保存、报送开具发票数据的处罚</w:t>
            </w:r>
          </w:p>
        </w:tc>
        <w:tc>
          <w:tcPr>
            <w:tcW w:w="119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《中华人民共和国发票管理办法》第三十五条。</w:t>
            </w:r>
          </w:p>
        </w:tc>
        <w:tc>
          <w:tcPr>
            <w:tcW w:w="1241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3.税务机关应当依法责令当事人改正或者限期改正违法行为；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66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00" w:hRule="atLeast"/>
        </w:trPr>
        <w:tc>
          <w:tcPr>
            <w:tcW w:w="76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4.6</w:t>
            </w:r>
          </w:p>
        </w:tc>
        <w:tc>
          <w:tcPr>
            <w:tcW w:w="85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对违反发票及票证管理规定的处罚</w:t>
            </w:r>
          </w:p>
        </w:tc>
        <w:tc>
          <w:tcPr>
            <w:tcW w:w="858"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4.6.2</w:t>
            </w:r>
            <w:r>
              <w:rPr>
                <w:rFonts w:hint="eastAsia" w:ascii="宋体" w:hAnsi="宋体" w:cs="宋体"/>
                <w:color w:val="000000"/>
                <w:kern w:val="0"/>
                <w:sz w:val="24"/>
              </w:rPr>
              <w:t>对违反规定携带、邮寄、运输空白发票或者丢失、擅自损毁发票的处罚</w:t>
            </w:r>
          </w:p>
        </w:tc>
        <w:tc>
          <w:tcPr>
            <w:tcW w:w="119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《中华人民共和国发票管理办法》第三十六条。</w:t>
            </w:r>
          </w:p>
        </w:tc>
        <w:tc>
          <w:tcPr>
            <w:tcW w:w="1241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3.税务机关应当依法责令当事人改正或者限期改正违法行为；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66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00" w:hRule="atLeast"/>
        </w:trPr>
        <w:tc>
          <w:tcPr>
            <w:tcW w:w="76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4.6</w:t>
            </w:r>
          </w:p>
        </w:tc>
        <w:tc>
          <w:tcPr>
            <w:tcW w:w="85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对违反发票及票证管理规定的处罚</w:t>
            </w:r>
          </w:p>
        </w:tc>
        <w:tc>
          <w:tcPr>
            <w:tcW w:w="858"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4.6.3</w:t>
            </w:r>
            <w:r>
              <w:rPr>
                <w:rFonts w:hint="eastAsia" w:ascii="宋体" w:hAnsi="宋体" w:cs="宋体"/>
                <w:color w:val="000000"/>
                <w:kern w:val="0"/>
                <w:sz w:val="24"/>
              </w:rPr>
              <w:t>对虚开或者非法代开发票的处罚</w:t>
            </w:r>
          </w:p>
        </w:tc>
        <w:tc>
          <w:tcPr>
            <w:tcW w:w="119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《中华人民共和国发票管理办法》第二十二条第二款、第三十七条。</w:t>
            </w:r>
          </w:p>
        </w:tc>
        <w:tc>
          <w:tcPr>
            <w:tcW w:w="1241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3.税务机关应当依法责令当事人改正或者限期改正违法行为；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66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00" w:hRule="atLeast"/>
        </w:trPr>
        <w:tc>
          <w:tcPr>
            <w:tcW w:w="76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4.6</w:t>
            </w:r>
          </w:p>
        </w:tc>
        <w:tc>
          <w:tcPr>
            <w:tcW w:w="85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对违反发票及票证管理规定的处罚</w:t>
            </w:r>
          </w:p>
        </w:tc>
        <w:tc>
          <w:tcPr>
            <w:tcW w:w="858"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4.6.4对违反发票管理法规，导致其他单位或者个人未缴、少缴或者骗取税款的处罚</w:t>
            </w:r>
          </w:p>
        </w:tc>
        <w:tc>
          <w:tcPr>
            <w:tcW w:w="119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《中华人民共和国发票管理办法》第四十一条。</w:t>
            </w:r>
          </w:p>
        </w:tc>
        <w:tc>
          <w:tcPr>
            <w:tcW w:w="1241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66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00" w:hRule="atLeast"/>
        </w:trPr>
        <w:tc>
          <w:tcPr>
            <w:tcW w:w="76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4.6</w:t>
            </w:r>
          </w:p>
        </w:tc>
        <w:tc>
          <w:tcPr>
            <w:tcW w:w="85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对违反发票及票证管理规定的处罚</w:t>
            </w:r>
          </w:p>
        </w:tc>
        <w:tc>
          <w:tcPr>
            <w:tcW w:w="858"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4.6.5</w:t>
            </w:r>
            <w:r>
              <w:rPr>
                <w:rFonts w:hint="eastAsia" w:ascii="宋体" w:hAnsi="宋体" w:cs="宋体"/>
                <w:color w:val="000000"/>
                <w:kern w:val="0"/>
                <w:sz w:val="24"/>
              </w:rPr>
              <w:t>对扣缴义务人未按照《税收票证管理办法》开具税收票证的处罚</w:t>
            </w:r>
          </w:p>
        </w:tc>
        <w:tc>
          <w:tcPr>
            <w:tcW w:w="119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1.《中华人民共和国行政处罚法》第十二条第二款。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2.《税收票证管理办法》（国家税务总局令第28号公布，国家税务总局令第48号修改）第五十四条第二款。</w:t>
            </w:r>
          </w:p>
        </w:tc>
        <w:tc>
          <w:tcPr>
            <w:tcW w:w="1241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66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00" w:hRule="atLeast"/>
        </w:trPr>
        <w:tc>
          <w:tcPr>
            <w:tcW w:w="76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4.6</w:t>
            </w:r>
          </w:p>
        </w:tc>
        <w:tc>
          <w:tcPr>
            <w:tcW w:w="857"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对违反发票及票证管理规定的处罚</w:t>
            </w:r>
          </w:p>
        </w:tc>
        <w:tc>
          <w:tcPr>
            <w:tcW w:w="858"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4.6.6对自行填开税收票证的纳税人违反《税收票证管理办法》及相关规定的处罚</w:t>
            </w:r>
          </w:p>
        </w:tc>
        <w:tc>
          <w:tcPr>
            <w:tcW w:w="119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1.《中华人民共和国行政处罚法》第十二条第二款。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2.《税收票证管理办法》（国家税务总局令第28号公布，国家税务总局令第48号修改）第五十六条。</w:t>
            </w:r>
          </w:p>
        </w:tc>
        <w:tc>
          <w:tcPr>
            <w:tcW w:w="1241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66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00" w:hRule="atLeast"/>
        </w:trPr>
        <w:tc>
          <w:tcPr>
            <w:tcW w:w="76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4.7</w:t>
            </w:r>
          </w:p>
        </w:tc>
        <w:tc>
          <w:tcPr>
            <w:tcW w:w="857" w:type="dxa"/>
            <w:shd w:val="clear" w:color="auto" w:fill="auto"/>
            <w:tcMar>
              <w:top w:w="10" w:type="dxa"/>
              <w:left w:w="10" w:type="dxa"/>
              <w:right w:w="10" w:type="dxa"/>
            </w:tcMar>
            <w:vAlign w:val="center"/>
          </w:tcPr>
          <w:p>
            <w:pPr>
              <w:jc w:val="left"/>
              <w:rPr>
                <w:rFonts w:ascii="宋体" w:hAnsi="宋体" w:eastAsia="宋体" w:cs="宋体"/>
                <w:color w:val="000000"/>
                <w:kern w:val="0"/>
                <w:sz w:val="24"/>
              </w:rPr>
            </w:pPr>
            <w:r>
              <w:rPr>
                <w:rFonts w:hint="eastAsia" w:ascii="宋体" w:hAnsi="宋体" w:eastAsia="宋体" w:cs="宋体"/>
                <w:color w:val="000000"/>
                <w:kern w:val="0"/>
                <w:sz w:val="24"/>
              </w:rPr>
              <w:t>对违反纳税担保规定的处罚</w:t>
            </w:r>
          </w:p>
        </w:tc>
        <w:tc>
          <w:tcPr>
            <w:tcW w:w="858"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4.7.1对采取欺骗、隐瞒等手段提供担保或者为实施虚假担保提供方便的处罚</w:t>
            </w:r>
          </w:p>
        </w:tc>
        <w:tc>
          <w:tcPr>
            <w:tcW w:w="119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1.《中华人民共和国行政处罚法》第十二条第二款。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2.《纳税担保试行办法》（国家税务总局令第11号）第三十一条。</w:t>
            </w:r>
          </w:p>
        </w:tc>
        <w:tc>
          <w:tcPr>
            <w:tcW w:w="1241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66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00" w:hRule="atLeast"/>
        </w:trPr>
        <w:tc>
          <w:tcPr>
            <w:tcW w:w="762" w:type="dxa"/>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4.7</w:t>
            </w:r>
          </w:p>
        </w:tc>
        <w:tc>
          <w:tcPr>
            <w:tcW w:w="857" w:type="dxa"/>
            <w:shd w:val="clear" w:color="auto" w:fill="auto"/>
            <w:tcMar>
              <w:top w:w="10" w:type="dxa"/>
              <w:left w:w="10" w:type="dxa"/>
              <w:right w:w="10" w:type="dxa"/>
            </w:tcMar>
            <w:vAlign w:val="center"/>
          </w:tcPr>
          <w:p>
            <w:pPr>
              <w:jc w:val="left"/>
              <w:rPr>
                <w:rFonts w:ascii="宋体" w:hAnsi="宋体" w:eastAsia="宋体" w:cs="宋体"/>
                <w:color w:val="000000"/>
                <w:kern w:val="0"/>
                <w:sz w:val="24"/>
              </w:rPr>
            </w:pPr>
            <w:r>
              <w:rPr>
                <w:rFonts w:hint="eastAsia" w:ascii="宋体" w:hAnsi="宋体" w:eastAsia="宋体" w:cs="宋体"/>
                <w:color w:val="000000"/>
                <w:kern w:val="0"/>
                <w:sz w:val="24"/>
              </w:rPr>
              <w:t>对违反纳税担保规定的处罚</w:t>
            </w:r>
          </w:p>
        </w:tc>
        <w:tc>
          <w:tcPr>
            <w:tcW w:w="858"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4.7.2对纳税人采取欺骗、隐瞒等手段提供担保，造成应缴税款损失的处罚</w:t>
            </w:r>
          </w:p>
        </w:tc>
        <w:tc>
          <w:tcPr>
            <w:tcW w:w="1196"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1.《中华人民共和国行政处罚法》第十二条第二款。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2.《纳税担保试行办法》（国家税务总局令第11号）第三十二条。</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3.《中华人民共和国税收征收管理法》第六十八条。</w:t>
            </w:r>
          </w:p>
        </w:tc>
        <w:tc>
          <w:tcPr>
            <w:tcW w:w="1241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1.税务机关应当通过官方网站、办税服务场所等渠道公开行政处罚执法主体、权限、依据、裁量基准、程序、救济渠道、流程图等；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3.税务机关应当在作出行政处罚决定之前，告知当事人拟作出行政处罚决定的事实、理由、依据和依法享有的权利；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8.当事人确有经济困难，需要延期或者分期缴纳罚款的，经当事人申请和税务机关批准，可以暂缓或者分期缴纳。</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1.当事人逾期不履行行政处罚决定的，作出行政处罚决定的税务机关可以每日按罚款数额的百分之三加处罚款；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662" w:type="dxa"/>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1.没有法定的行政处罚依据的，擅自改变行政处罚种类、幅度的，违反法定的行政处罚程序的；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2.对当事人进行处罚不使用罚款、没收财物单据或者使用非法定部门制发的罚款、没收财物单据的；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3.违反《中华人民共和国行政处罚法》第四十六条的规定自行收缴罚款的；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4.将罚款、没收的违法所得或者财物截留、私分或者变相私分的；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5.为牟取本单位私利，对应当依法移交司法机关追究刑事责任的不移交，以行政处罚代替刑罚，经由上级行政机关或者有关部门责令纠正而拒不纠正的；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6.玩忽职守，对应当予以制止和处罚的违法行为不予制止、处罚，致使公民、法人或者其他组织的合法权益、公共利益和社会秩序遭受损害的；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7.利用职务上的便利，索取或者收受纳税人、扣缴义务人财物或者谋取不正当利益，收缴罚款据为己有的；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9.未按照规定为纳税人、扣缴义务人保密的；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10.法律、行政法规等规定的其他不履行或者不正确履行行政职责的情形。</w:t>
            </w:r>
          </w:p>
          <w:p>
            <w:pPr>
              <w:widowControl/>
              <w:jc w:val="left"/>
              <w:textAlignment w:val="center"/>
              <w:rPr>
                <w:rFonts w:ascii="宋体" w:hAnsi="宋体" w:eastAsia="宋体" w:cs="宋体"/>
                <w:color w:val="000000"/>
                <w:sz w:val="24"/>
              </w:rPr>
            </w:pPr>
          </w:p>
        </w:tc>
      </w:tr>
    </w:tbl>
    <w:p>
      <w:pPr>
        <w:rPr>
          <w:rFonts w:ascii="楷体" w:hAnsi="楷体" w:eastAsia="楷体" w:cs="楷体"/>
          <w:b/>
          <w:bCs/>
          <w:sz w:val="32"/>
          <w:szCs w:val="32"/>
        </w:rPr>
      </w:pPr>
      <w:r>
        <w:rPr>
          <w:rFonts w:ascii="楷体" w:hAnsi="楷体" w:eastAsia="楷体" w:cs="楷体"/>
          <w:b/>
          <w:bCs/>
          <w:sz w:val="32"/>
          <w:szCs w:val="32"/>
        </w:rPr>
        <w:br w:type="page"/>
      </w:r>
    </w:p>
    <w:p>
      <w:pPr>
        <w:jc w:val="center"/>
        <w:rPr>
          <w:rFonts w:ascii="楷体_GB2312" w:hAnsi="楷体" w:eastAsia="楷体_GB2312" w:cs="楷体"/>
          <w:b/>
          <w:bCs/>
          <w:sz w:val="32"/>
          <w:szCs w:val="32"/>
        </w:rPr>
      </w:pPr>
      <w:r>
        <w:rPr>
          <w:rFonts w:hint="eastAsia" w:ascii="楷体_GB2312" w:hAnsi="楷体" w:eastAsia="楷体_GB2312" w:cs="楷体"/>
          <w:b/>
          <w:bCs/>
          <w:sz w:val="32"/>
          <w:szCs w:val="32"/>
        </w:rPr>
        <w:t>（五）行政许可</w:t>
      </w:r>
    </w:p>
    <w:tbl>
      <w:tblPr>
        <w:tblStyle w:val="7"/>
        <w:tblW w:w="20747" w:type="dxa"/>
        <w:tblInd w:w="0" w:type="dxa"/>
        <w:tblLayout w:type="fixed"/>
        <w:tblCellMar>
          <w:top w:w="0" w:type="dxa"/>
          <w:left w:w="0" w:type="dxa"/>
          <w:bottom w:w="0" w:type="dxa"/>
          <w:right w:w="0" w:type="dxa"/>
        </w:tblCellMar>
      </w:tblPr>
      <w:tblGrid>
        <w:gridCol w:w="959"/>
        <w:gridCol w:w="1201"/>
        <w:gridCol w:w="719"/>
        <w:gridCol w:w="1306"/>
        <w:gridCol w:w="12037"/>
        <w:gridCol w:w="4525"/>
      </w:tblGrid>
      <w:tr>
        <w:tblPrEx>
          <w:tblLayout w:type="fixed"/>
          <w:tblCellMar>
            <w:top w:w="0" w:type="dxa"/>
            <w:left w:w="0" w:type="dxa"/>
            <w:bottom w:w="0" w:type="dxa"/>
            <w:right w:w="0" w:type="dxa"/>
          </w:tblCellMar>
        </w:tblPrEx>
        <w:trPr>
          <w:trHeight w:val="600" w:hRule="atLeast"/>
          <w:tblHeader/>
        </w:trPr>
        <w:tc>
          <w:tcPr>
            <w:tcW w:w="9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序号</w:t>
            </w:r>
          </w:p>
        </w:tc>
        <w:tc>
          <w:tcPr>
            <w:tcW w:w="12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职权名称</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子项</w:t>
            </w:r>
          </w:p>
        </w:tc>
        <w:tc>
          <w:tcPr>
            <w:tcW w:w="13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设定依据</w:t>
            </w:r>
          </w:p>
        </w:tc>
        <w:tc>
          <w:tcPr>
            <w:tcW w:w="120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履责方式</w:t>
            </w:r>
          </w:p>
        </w:tc>
        <w:tc>
          <w:tcPr>
            <w:tcW w:w="45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追责情形</w:t>
            </w:r>
          </w:p>
        </w:tc>
      </w:tr>
      <w:tr>
        <w:tblPrEx>
          <w:tblLayout w:type="fixed"/>
          <w:tblCellMar>
            <w:top w:w="0" w:type="dxa"/>
            <w:left w:w="0" w:type="dxa"/>
            <w:bottom w:w="0" w:type="dxa"/>
            <w:right w:w="0" w:type="dxa"/>
          </w:tblCellMar>
        </w:tblPrEx>
        <w:trPr>
          <w:trHeight w:val="6000" w:hRule="atLeast"/>
        </w:trPr>
        <w:tc>
          <w:tcPr>
            <w:tcW w:w="9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5.1</w:t>
            </w:r>
          </w:p>
        </w:tc>
        <w:tc>
          <w:tcPr>
            <w:tcW w:w="12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对纳税人延期申报的核准</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eastAsia="宋体" w:cs="宋体"/>
                <w:color w:val="000000"/>
                <w:sz w:val="24"/>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1.《中华人民共和国税收征收管理法》第二十七条第一款。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2.《中华人民共和国税收征收管理法实施细则》第三十七条。</w:t>
            </w:r>
          </w:p>
        </w:tc>
        <w:tc>
          <w:tcPr>
            <w:tcW w:w="120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一、相关程序和要求</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1.税务机关应当通过官方网站、办税服务场所等渠道公开税务行政许可的事项、依据、条件、数量、程序、期限以及需要提交的全部材料的目录、申请书示范文本和服务指南等；</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2.税务机关应当接收并审查申请人提交的申请材料，申请事项属于税务机关管辖范围，但不需要取得税务行政许可的，应当即时告知申请人不受理，并告知其解决的途径；申请事项依法不属于本税务机关职权范围的，应当即时作出不予受理的决定，并告知申请人向有关行政机关申请；申请人申请材料存在可以当场更正的错误的，应当告知并允许申请人当场更正，申请材料不齐全或者不符合法定形式的，应当当场或者在5个工作日内一次告知申请人需要补正的全部内容；申请事项属于本税务机关职权范围，申请材料齐全、符合法定形式，或者申请人按照本税务机关的要求提交全部补正申请材料的，应当受理许可申请；</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3.税务机关审查税务行政许可申请，应当以书面审查为原则；根据法定条件和程序，需要对申请材料的实质内容进行实地核实的，应当指派两名以上税务人员进行核查。税务机关审查税务行政许可申请过程中发现行政许可事项直接关系他人重大利益的，应当告知利害关系人相关权利。申请人、利害关系人有权进行陈述和申辩，税务机关应当认真听取申请人、利害关系人的意见。符合《行政许可法》第四十六条、四十七条规定的，税务机关依法组织听证；</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4.税务机关应当在自受理行政许可申请之日起10个工作日内作出行政许可决定。10个工作日内不能作出决定的，经本税务机关负责人批准，可以延长5个工作日，并应当将延长期限的理由告知申请人；</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5.税务机关应当自作出决定之日起2个工作日内向申请人送达行政许可决定，7个工作日内公开准予行政许可的决定；</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6.有《中华人民共和国行政许可法》第六十九条第一款规定情形的，根据利害关系人的请求或者依据职权，税务机关可以撤销行政许可，被许可人的合法权益受到损害的，应当依法给予赔偿。被许可人以欺骗、贿赂等不正当手段取得行政许可的，应当予以撤销；</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7.被许可人有《中华人民共和国行政许可法》第七十条规定情形的，税务机关应当依法办理税务行政许可注销手续；</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8.税务行政许可所依据的法律、法规、规章修改或者废止，或者准予税务行政许可所依据的客观情况发生重大变化的，为了公共利益的需要，税务机关可以依法变更或者撤回已经生效的税务行政许可，由此给公民、法人或者其他组织造成财产损失的，税务机关应当依法给予补偿。</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二、事中事后监管措施</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1.税务机关应当充分运用大数据先进理念、技术和资源，利用国家统一的信用信息共享交换平台，建立健全失信联合惩戒机制，加强对被许可人的服务和监管；</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2.税务机关应当依法对被许可人从事税务行政许可事项的活动进行监督检查，可以依法查阅或者要求被许可人报送有关材料，被许可人应当如实提供有关情况和材料；</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3.纳税人未按照规定的期限办理纳税申报和报送纳税资料的，或者扣缴义务人未按照规定的期限向税务机关报送代扣代繳、代收代缴税款报告表和有关资料的，由税务机关责令限期改正,可以依据《中华人民共和国税收征收管理法》第六十二条规定处罚；</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4.发现被许可人不再具备法定条件时，应当责令限期改正；发现其有《中华人民共和国行政许可法》第六十九条第二款规定情形及其他违法行为的，依法进行处理处罚。</w:t>
            </w:r>
          </w:p>
          <w:p>
            <w:pPr>
              <w:widowControl/>
              <w:jc w:val="left"/>
              <w:textAlignment w:val="center"/>
              <w:rPr>
                <w:rFonts w:ascii="宋体" w:hAnsi="宋体" w:eastAsia="宋体" w:cs="宋体"/>
                <w:color w:val="000000"/>
                <w:sz w:val="24"/>
              </w:rPr>
            </w:pPr>
          </w:p>
        </w:tc>
        <w:tc>
          <w:tcPr>
            <w:tcW w:w="45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1.未按照规定受理、公示、履行告知义务、一次性告知补正、说明不予受理或者不予行政许可的理由的，依法应当举行听证而不举行听证的；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2.办理行政许可、实施监督检查，索取或者收受他人财物或者谋取其他利益的；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3.违反法定条件、超越法定职权、不在法定期限内做出行政许可决定的；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4.实施行政许可，擅自收费的；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5.不依法履行监督职责或监督不力造成严重后果的；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6.未按照规定为行政相对人保密的；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7.滥用职权，故意刁难纳税人的；</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8.法律、行政法规等规定的其他不履行或者不正确履行行政职责的情形。</w:t>
            </w:r>
          </w:p>
        </w:tc>
      </w:tr>
      <w:tr>
        <w:tblPrEx>
          <w:tblLayout w:type="fixed"/>
          <w:tblCellMar>
            <w:top w:w="0" w:type="dxa"/>
            <w:left w:w="0" w:type="dxa"/>
            <w:bottom w:w="0" w:type="dxa"/>
            <w:right w:w="0" w:type="dxa"/>
          </w:tblCellMar>
        </w:tblPrEx>
        <w:trPr>
          <w:trHeight w:val="6300" w:hRule="atLeast"/>
        </w:trPr>
        <w:tc>
          <w:tcPr>
            <w:tcW w:w="9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5.2</w:t>
            </w:r>
          </w:p>
        </w:tc>
        <w:tc>
          <w:tcPr>
            <w:tcW w:w="12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对纳税人变更纳税定额的核准</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eastAsia="宋体" w:cs="宋体"/>
                <w:color w:val="000000"/>
                <w:sz w:val="24"/>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《中华人民共和国税收征收管理法实施细则》第四十七条第三款。</w:t>
            </w:r>
          </w:p>
        </w:tc>
        <w:tc>
          <w:tcPr>
            <w:tcW w:w="120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一、相关程序和要求</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1.税务机关应当通过官方网站、办税服务场所等渠道公开税务行政许可的事项、依据、条件、数量、程序、期限以及需要提交的全部材料的目录、申请书示范文本和服务指南等；</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2.税务机关应当接收并审查申请人提交的申请材料，申请事项属于税务机关管辖范围，但不需要取得税务行政许可的，应当即时告知申请人不受理，并告知其解决的途径；申请事项依法不属于本税务机关职权范围的，应当即时作出不予受理的决定，并告知申请人向有关行政机关申请；申请人申请材料存在可以当场更正的错误的，应当告知并允许申请人当场更正，申请材料不齐全或者不符合法定形式的，应当当场或者在5个工作日内一次告知申请人需要补正的全部内容；申请事项属于本税务机关职权范围，申请材料齐全、符合法定形式，或者申请人按照本税务机关的要求提交全部补正申请材料的，应当受理许可申请；</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3.税务机关应当按照核定定额、定额公示、上级核准、下达定额、公布定额的程序核准纳税人变更纳税定额；</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4.税务机关审查税务行政许可申请，应当以书面审查为原则；根据法定条件和程序，需要对申请材料的实质内容进行实地核实的，应当指派两名以上税务人员进行核查。税务机关审查税务行政许可申请过程中发现行政许可事项直接关系他人重大利益的，应当告知利害关系人相关权利。申请人、利害关系人有权进行陈述和申辩，税务机关应当认真听取申请人、利害关系人的意见。符合《行政许可法》第四十六条、四十七条规定的，税务机关依法组织听证；</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5.税务机关应当自受理行政许可申请之日起15个工作日内作出行政许可决定。15个工作日内不能作出决定的，经本税务机关负责人批准，可以延长5个工作日，并应当将延长期限的理由告知申请人；</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6.税务机关应当自作出决定之日起2个工作日内向申请人送达行政许可决定，7个工作日内公开准予行政许可的决定；</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7.有《中华人民共和国行政许可法》第六十九条第一款规定情形的，根据利害关系人的请求或者依据职权，税务机关可以撤销行政许可，被许可人的合法权益受到损害的，应当依法给予赔偿。被许可人以欺骗、贿赂等不正当手段取得行政许可的，应当予以撤销；</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8.被许可人有《中华人民共和国行政许可法》第七十条规定情形的，税务机关应当依法办理税务行政许可注销手续；</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9.税务行政许可所依据的法律、法规、规章修改或者废止，或者准予税务行政许可所依据的客观情况发生重大变化的，为了公共利益的需要，税务机关可以依法变更或者撤回已经生效的税务行政许可，由此给公民、法人或者其他组织造成财产损失的，税务机关应当依法给予补偿。</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二、事中事后监管措施</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1.税务机关应当充分运用大数据先进理念、技术和资源，利用国家统一的信用信息共享交换平台，建立健全失信联合惩戒机制，加强对被许可人的服务和监管；</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2.税务机关应当依法对被许可人从事税务行政许可事项的活动进行监督检查，可以依法查阅或者要求被许可人报送有关材料，被许可人应当如实提供有关情况和材料；</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3.主管税务机关应当将定期定额户进行分类，在年度内按行业、区域选择一定数量并具有代表性的定期定额户，对其经营、所得情况进行典型调查；</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4.经税务机关检查发现定期定额户在以前定额执行期发生的经营额、所得额超过定额，或者当期发生的经营额、所得额超过定额一定幅度而未向税务机关进行纳税申报及结清应纳税款的，税务机关应当追缴税款、加收滞纳金，并按照法律、行政法规规定予以处理。其经营额、所得额连续纳税期超过定额，税务机关应当按照《个体工商户税收定期定额征收管理办法》第十八条的规定重新核定其定额；</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5.发现被许可人不再具备法定条件时，应当责令限期改正；发现其有《中华人民共和国行政许可法》第六十九条第二款规定情形及其他违法行为的，依法进行处理处罚。</w:t>
            </w:r>
          </w:p>
          <w:p>
            <w:pPr>
              <w:widowControl/>
              <w:jc w:val="left"/>
              <w:textAlignment w:val="center"/>
              <w:rPr>
                <w:rFonts w:ascii="宋体" w:hAnsi="宋体" w:eastAsia="宋体" w:cs="宋体"/>
                <w:color w:val="000000"/>
                <w:sz w:val="24"/>
              </w:rPr>
            </w:pPr>
          </w:p>
        </w:tc>
        <w:tc>
          <w:tcPr>
            <w:tcW w:w="45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1.未按照规定受理、公示、履行告知义务、一次性告知补正、说明不予受理或者不予行政许可理由的，依法应当举行听证而不举行听证的；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2.办理行政许可、实施监督检查，索取或者收受他人财物或者谋取其他利益的；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3.违反法定条件、超越法定职权、不在法定期限内做出行政许可决定的；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4.实施行政许可，擅自收费的；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5.不依法履行监督职责或监督不力造成严重后果的；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7.未按照规定为行政相对人保密的；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8.滥用职权，故意刁难纳税人的；</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9.法律、行政法规等规定的其他不履行或者不正确履行行政职责的情形。</w:t>
            </w:r>
          </w:p>
        </w:tc>
      </w:tr>
      <w:tr>
        <w:tblPrEx>
          <w:tblLayout w:type="fixed"/>
          <w:tblCellMar>
            <w:top w:w="0" w:type="dxa"/>
            <w:left w:w="0" w:type="dxa"/>
            <w:bottom w:w="0" w:type="dxa"/>
            <w:right w:w="0" w:type="dxa"/>
          </w:tblCellMar>
        </w:tblPrEx>
        <w:trPr>
          <w:trHeight w:val="5700" w:hRule="atLeast"/>
        </w:trPr>
        <w:tc>
          <w:tcPr>
            <w:tcW w:w="9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5.3</w:t>
            </w:r>
          </w:p>
        </w:tc>
        <w:tc>
          <w:tcPr>
            <w:tcW w:w="12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对采取实际利润额预缴以外的其他企业所得税预缴方式的核定</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eastAsia="宋体" w:cs="宋体"/>
                <w:color w:val="000000"/>
                <w:sz w:val="24"/>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《中华人民共和国企业所得税法实施条例》第一百二十七条。</w:t>
            </w:r>
          </w:p>
        </w:tc>
        <w:tc>
          <w:tcPr>
            <w:tcW w:w="120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一、相关程序和要求</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1.税务机关应当通过官方网站、办税服务场所等渠道公开税务行政许可的事项、依据、条件、数量、程序、期限以及需要提交的全部材料的目录、申请书示范文本和服务指南等；</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2.税务机关应当接收并审查申请人提交的申请材料，申请事项属于税务机关管辖范围，但不需要取得税务行政许可的，应当即时告知申请人不受理，并告知其解决的途径；申请事项依法不属于本税务机关职权范围的，应当即时作出不予受理的决定，并告知申请人向有关行政机关申请；申请人申请材料存在可以当场更正的错误的，应当告知并允许申请人当场更正，申请材料不齐全或者不符合法定形式的，应当当场或者在5个工作日内一次告知申请人需要补正的全部内容；申请事项属于本税务机关职权范围，申请材料齐全、符合法定形式，或者申请人按照本税务机关的要求提交全部补正申请材料的，应当受理许可申请；</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3.税务机关审查税务行政许可申请，应当以书面审查为原则；根据法定条件和程序，需要对申请材料的实质内容进行实地核实的，应当指派两名以上税务人员进行核查。税务机关审查税务行政许可申请过程中发现行政许可事项直接关系他人重大利益的，应当告知利害关系人相关权利。申请人、利害关系人有权进行陈述和申辩，税务机关应当认真听取申请人、利害关系人的意见。符合《行政许可法》第四十六条、四十七条规定的，税务机关依法组织听证；</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4.税务机关应当自受理行政许可申请之日起10个工作日内作出行政许可决定。10个工作日内不能作出决定的，经本税务机关负责人批准，可以延长5个工作日内，并应当将延长期限的理由告知申请人；</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5.税务机关应当自作出决定之日起2个工作日内向申请人送达行政许可决定，7个工作日内公开准予行政许可的决定；</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6.有《中华人民共和国行政许可法》第六十九条第一款规定情形的，根据利害关系人的请求或者依据职权，税务机关可以撤销行政许可，被许可人的合法权益受到损害的，应当依法给予赔偿。被许可人以欺骗、贿赂等不正当手段取得行政许可的，应当予以撤销；</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7.被许可人有《中华人民共和国行政许可法》第七十条规定情形的，税务机关应当依法办理税务行政许可注销手续；</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8.税务行政许可所依据的法律、法规、规章修改或者废止，或者准予税务行政许可所依据的客观情况发生重大变化的，为了公共利益的需要，税务机关可以依法变更或者撤回已经生效的税务行政许可，由此给公民、法人或者其他组织造成财产损失的，税务机关应当依法给予补偿。</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二、事中事后监管措施</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1.税务机关应当充分运用大数据先进理念、技术和资源，利用国家统一的信用信息共享交换平台，建立健全失信联合惩戒机制，加强对被许可人的服务和监管；</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2.税务机关应当依法对被许可人从事税务行政许可事项的活动进行监督检查，可以依法查阅或者要求被许可人报送有关材料，被许可人应当如实提供有关情况和材料；</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3.对采取实际利润额预缴以外的其他企业所得税预缴方式的企业预缴情况进行核查,发现其未按规定预缴造成少缴税款的，按规定补缴税款并加收滞纳金；</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4.发现被许可人不再具备法定条件时，应当责令限期改正；发现其有《中华人民共和国行政许可法》第六十九条第二款规定情形及其他违法行为的，依法进行处理处罚。</w:t>
            </w:r>
          </w:p>
          <w:p>
            <w:pPr>
              <w:widowControl/>
              <w:jc w:val="left"/>
              <w:textAlignment w:val="center"/>
              <w:rPr>
                <w:rFonts w:ascii="宋体" w:hAnsi="宋体" w:eastAsia="宋体" w:cs="宋体"/>
                <w:color w:val="000000"/>
                <w:sz w:val="24"/>
              </w:rPr>
            </w:pPr>
          </w:p>
        </w:tc>
        <w:tc>
          <w:tcPr>
            <w:tcW w:w="45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1.未按照规定受理、公示、履行告知义务、一次性告知补正、说明不予受理或者不予行政许可的理由的，依法应当举行听证而不举行听证的；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2.办理行政许可、实施监督检查，索取或者收受他人财物或者谋取其他利益的；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3.违反法定条件、超越法定职权、不在法定期限内做出行政许可决定的；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4.实施行政许可，擅自收费的；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5.不依法履行监督职责或监督不力造成严重后果的；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6.未按照规定为行政相对人保密的；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7.滥用职权，故意刁难纳税人的；</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8.法律、行政法规等规定的其他不履行或者不正确履行行政职责的情形。</w:t>
            </w:r>
          </w:p>
        </w:tc>
      </w:tr>
    </w:tbl>
    <w:p>
      <w:pPr>
        <w:rPr>
          <w:rFonts w:ascii="楷体" w:hAnsi="楷体" w:eastAsia="楷体" w:cs="楷体"/>
          <w:b/>
          <w:bCs/>
          <w:sz w:val="32"/>
          <w:szCs w:val="32"/>
        </w:rPr>
      </w:pPr>
      <w:r>
        <w:rPr>
          <w:rFonts w:ascii="楷体" w:hAnsi="楷体" w:eastAsia="楷体" w:cs="楷体"/>
          <w:b/>
          <w:bCs/>
          <w:sz w:val="32"/>
          <w:szCs w:val="32"/>
        </w:rPr>
        <w:br w:type="page"/>
      </w:r>
    </w:p>
    <w:p>
      <w:pPr>
        <w:jc w:val="center"/>
        <w:rPr>
          <w:rFonts w:ascii="楷体_GB2312" w:hAnsi="楷体" w:eastAsia="楷体_GB2312" w:cs="楷体"/>
          <w:b/>
          <w:bCs/>
          <w:sz w:val="32"/>
          <w:szCs w:val="32"/>
        </w:rPr>
      </w:pPr>
      <w:r>
        <w:rPr>
          <w:rFonts w:hint="eastAsia" w:ascii="楷体_GB2312" w:hAnsi="楷体" w:eastAsia="楷体_GB2312" w:cs="楷体"/>
          <w:b/>
          <w:bCs/>
          <w:sz w:val="32"/>
          <w:szCs w:val="32"/>
        </w:rPr>
        <w:t>（六）行政确认</w:t>
      </w:r>
    </w:p>
    <w:tbl>
      <w:tblPr>
        <w:tblStyle w:val="7"/>
        <w:tblW w:w="20746" w:type="dxa"/>
        <w:tblInd w:w="0" w:type="dxa"/>
        <w:tblLayout w:type="fixed"/>
        <w:tblCellMar>
          <w:top w:w="0" w:type="dxa"/>
          <w:left w:w="0" w:type="dxa"/>
          <w:bottom w:w="0" w:type="dxa"/>
          <w:right w:w="0" w:type="dxa"/>
        </w:tblCellMar>
      </w:tblPr>
      <w:tblGrid>
        <w:gridCol w:w="535"/>
        <w:gridCol w:w="674"/>
        <w:gridCol w:w="674"/>
        <w:gridCol w:w="2201"/>
        <w:gridCol w:w="9300"/>
        <w:gridCol w:w="7362"/>
      </w:tblGrid>
      <w:tr>
        <w:tblPrEx>
          <w:tblLayout w:type="fixed"/>
          <w:tblCellMar>
            <w:top w:w="0" w:type="dxa"/>
            <w:left w:w="0" w:type="dxa"/>
            <w:bottom w:w="0" w:type="dxa"/>
            <w:right w:w="0" w:type="dxa"/>
          </w:tblCellMar>
        </w:tblPrEx>
        <w:trPr>
          <w:trHeight w:val="600" w:hRule="atLeast"/>
          <w:tblHeader/>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序号</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职权名称</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b/>
                <w:color w:val="000000"/>
                <w:sz w:val="24"/>
              </w:rPr>
            </w:pPr>
            <w:r>
              <w:rPr>
                <w:rFonts w:hint="eastAsia" w:ascii="宋体" w:hAnsi="宋体" w:eastAsia="宋体" w:cs="宋体"/>
                <w:b/>
                <w:color w:val="000000"/>
                <w:kern w:val="0"/>
                <w:sz w:val="24"/>
              </w:rPr>
              <w:t>子项</w:t>
            </w:r>
          </w:p>
        </w:tc>
        <w:tc>
          <w:tcPr>
            <w:tcW w:w="22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设定依据</w:t>
            </w:r>
          </w:p>
        </w:tc>
        <w:tc>
          <w:tcPr>
            <w:tcW w:w="93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履责方式</w:t>
            </w:r>
          </w:p>
        </w:tc>
        <w:tc>
          <w:tcPr>
            <w:tcW w:w="736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追责情形</w:t>
            </w:r>
          </w:p>
        </w:tc>
      </w:tr>
      <w:tr>
        <w:tblPrEx>
          <w:tblLayout w:type="fixed"/>
          <w:tblCellMar>
            <w:top w:w="0" w:type="dxa"/>
            <w:left w:w="0" w:type="dxa"/>
            <w:bottom w:w="0" w:type="dxa"/>
            <w:right w:w="0" w:type="dxa"/>
          </w:tblCellMar>
        </w:tblPrEx>
        <w:trPr>
          <w:trHeight w:val="360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6.1</w:t>
            </w:r>
          </w:p>
        </w:tc>
        <w:tc>
          <w:tcPr>
            <w:tcW w:w="67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非正常户认定和解除</w:t>
            </w:r>
          </w:p>
        </w:tc>
        <w:tc>
          <w:tcPr>
            <w:tcW w:w="674"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eastAsia="宋体" w:cs="宋体"/>
                <w:color w:val="000000"/>
                <w:sz w:val="24"/>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1.《中华人民共和国税收征收管理法实施细则》第十条第二款。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2.《税务登记管理办法》（国家税务总局令第7号公布，国家税务总局令第36号、第44号、</w:t>
            </w:r>
            <w:r>
              <w:rPr>
                <w:rStyle w:val="11"/>
                <w:rFonts w:hint="default"/>
              </w:rPr>
              <w:t>第48号修改）第三条。</w:t>
            </w:r>
          </w:p>
        </w:tc>
        <w:tc>
          <w:tcPr>
            <w:tcW w:w="93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相关程序和要求</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1.税务机关应当通过官方网站、办税服务场所等渠道公开非正常户认定和解除的主体、权限、依据、程序、报送资料、救济渠道、服务指南、流程图等；</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2.纳税人负有纳税申报义务，但连续三个月所有税种均未进行纳税申报的，税收征管系统自动将其认定为非正常户，并停止其发票领用簿和发票的使用；</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3.税务机关应当在非正常户认定的次月，在办税场所或者广播、电视、报纸、期刊、网络等媒体上予以公告；</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4.纳税人被列入非正常户超过三个月的，税务机关可以宣布其税务登记证件失效，其应纳税款的追征仍按税收征管法及其实施细则的规定执行；</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5.税务机关发现非正常户纳税人恢复正常生产经营的，应当及时处理，并督促其到税务机关办理相关手续；</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6.已认定为非正常户的纳税人，就其逾期未申报行为接受处罚、缴纳罚款，并补办纳税申报的，税收征管系统自动解除非正常状态，无需纳税人专门申请解除；</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7.对没有欠税且没有未缴销发票的纳税人，认定为非正常户超过两年的，税务机关可以注销其税务登记证件。</w:t>
            </w:r>
          </w:p>
          <w:p>
            <w:pPr>
              <w:widowControl/>
              <w:jc w:val="left"/>
              <w:textAlignment w:val="center"/>
              <w:rPr>
                <w:rFonts w:ascii="宋体" w:hAnsi="宋体" w:eastAsia="宋体" w:cs="宋体"/>
                <w:color w:val="000000"/>
                <w:sz w:val="24"/>
              </w:rPr>
            </w:pPr>
          </w:p>
        </w:tc>
        <w:tc>
          <w:tcPr>
            <w:tcW w:w="736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1.利用职务上的便利，收受或者索取纳税人财物或者谋取其他不正当利益的；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3.滥用职权，故意刁难纳税人的；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4.未按照规定为纳税人保密的；</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5.法律、行政法规等规定的其他不履行或者不正确履行行政职责的情形。</w:t>
            </w:r>
          </w:p>
        </w:tc>
      </w:tr>
      <w:tr>
        <w:tblPrEx>
          <w:tblLayout w:type="fixed"/>
          <w:tblCellMar>
            <w:top w:w="0" w:type="dxa"/>
            <w:left w:w="0" w:type="dxa"/>
            <w:bottom w:w="0" w:type="dxa"/>
            <w:right w:w="0" w:type="dxa"/>
          </w:tblCellMar>
        </w:tblPrEx>
        <w:trPr>
          <w:trHeight w:val="240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6.2</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对发票领用的确认</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eastAsia="宋体" w:cs="宋体"/>
                <w:color w:val="000000"/>
                <w:sz w:val="24"/>
              </w:rPr>
            </w:pPr>
          </w:p>
        </w:tc>
        <w:tc>
          <w:tcPr>
            <w:tcW w:w="22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1.《中华人民共和国税收征收管理法》第二十一条。</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2.《中华人民共和国发票管理办法》第十五条。</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3.《网络发票管理办法》（国家税务总局令第30号公布，国家税务总局令第44号修改）第五条。</w:t>
            </w:r>
          </w:p>
        </w:tc>
        <w:tc>
          <w:tcPr>
            <w:tcW w:w="93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1.税务机关应当通过官方网站、办税服务场所等渠道公开发票领用确认的主体、权限、依据、程序、报送资料、救济渠道、服务指南、流程图等；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2.单位和个人需要领用发票的，主管税务机关应当根据领用单位和个人的经营范围和规模，确认领用发票的种类、数量以及领用方式，在5个工作日内发给发票领用簿。</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1.税务机关应当对发票使用情况按照规定进行查验；</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2.税务机关在给开具发票的单位和个人办理变更或者注销税务登记的同时，办理发票和发票领用簿的变更、缴销手续。</w:t>
            </w:r>
          </w:p>
        </w:tc>
        <w:tc>
          <w:tcPr>
            <w:tcW w:w="736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1.税务人员利用职权之便，故意刁难使用发票的单位和个人，或者有违反发票管理法规行为的；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2.利用职务上的便利，收受或者索取纳税人财物或者谋取其他不正当利益的；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4.未按照规定为纳税人保密的；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5.法律、行政法规等规定的其他不履行或者不正确履行行政职责的情形。</w:t>
            </w:r>
          </w:p>
          <w:p>
            <w:pPr>
              <w:widowControl/>
              <w:jc w:val="left"/>
              <w:textAlignment w:val="center"/>
              <w:rPr>
                <w:rFonts w:ascii="宋体" w:hAnsi="宋体" w:eastAsia="宋体" w:cs="宋体"/>
                <w:color w:val="000000"/>
                <w:sz w:val="24"/>
              </w:rPr>
            </w:pPr>
          </w:p>
        </w:tc>
      </w:tr>
    </w:tbl>
    <w:p>
      <w:pPr>
        <w:rPr>
          <w:rFonts w:ascii="楷体" w:hAnsi="楷体" w:eastAsia="楷体" w:cs="楷体"/>
          <w:b/>
          <w:bCs/>
          <w:sz w:val="32"/>
          <w:szCs w:val="32"/>
        </w:rPr>
      </w:pPr>
      <w:r>
        <w:rPr>
          <w:rFonts w:ascii="楷体" w:hAnsi="楷体" w:eastAsia="楷体" w:cs="楷体"/>
          <w:b/>
          <w:bCs/>
          <w:sz w:val="32"/>
          <w:szCs w:val="32"/>
        </w:rPr>
        <w:br w:type="page"/>
      </w:r>
    </w:p>
    <w:p>
      <w:pPr>
        <w:jc w:val="center"/>
        <w:rPr>
          <w:rFonts w:ascii="楷体_GB2312" w:hAnsi="楷体" w:eastAsia="楷体_GB2312" w:cs="楷体"/>
          <w:b/>
          <w:bCs/>
          <w:sz w:val="32"/>
          <w:szCs w:val="32"/>
        </w:rPr>
      </w:pPr>
    </w:p>
    <w:p>
      <w:pPr>
        <w:jc w:val="center"/>
        <w:rPr>
          <w:rFonts w:ascii="楷体_GB2312" w:hAnsi="楷体" w:eastAsia="楷体_GB2312" w:cs="楷体"/>
          <w:b/>
          <w:bCs/>
          <w:sz w:val="32"/>
          <w:szCs w:val="32"/>
        </w:rPr>
      </w:pPr>
      <w:r>
        <w:rPr>
          <w:rFonts w:hint="eastAsia" w:ascii="楷体_GB2312" w:hAnsi="楷体" w:eastAsia="楷体_GB2312" w:cs="楷体"/>
          <w:b/>
          <w:bCs/>
          <w:sz w:val="32"/>
          <w:szCs w:val="32"/>
        </w:rPr>
        <w:t>（七）行政奖励</w:t>
      </w:r>
    </w:p>
    <w:tbl>
      <w:tblPr>
        <w:tblStyle w:val="7"/>
        <w:tblW w:w="20772" w:type="dxa"/>
        <w:tblInd w:w="0" w:type="dxa"/>
        <w:tblLayout w:type="fixed"/>
        <w:tblCellMar>
          <w:top w:w="0" w:type="dxa"/>
          <w:left w:w="0" w:type="dxa"/>
          <w:bottom w:w="0" w:type="dxa"/>
          <w:right w:w="0" w:type="dxa"/>
        </w:tblCellMar>
      </w:tblPr>
      <w:tblGrid>
        <w:gridCol w:w="960"/>
        <w:gridCol w:w="1425"/>
        <w:gridCol w:w="1250"/>
        <w:gridCol w:w="2050"/>
        <w:gridCol w:w="11212"/>
        <w:gridCol w:w="3875"/>
      </w:tblGrid>
      <w:tr>
        <w:tblPrEx>
          <w:tblLayout w:type="fixed"/>
          <w:tblCellMar>
            <w:top w:w="0" w:type="dxa"/>
            <w:left w:w="0" w:type="dxa"/>
            <w:bottom w:w="0" w:type="dxa"/>
            <w:right w:w="0" w:type="dxa"/>
          </w:tblCellMar>
        </w:tblPrEx>
        <w:trPr>
          <w:trHeight w:val="6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序号</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职权名称</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子项</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设定依据</w:t>
            </w:r>
          </w:p>
        </w:tc>
        <w:tc>
          <w:tcPr>
            <w:tcW w:w="1121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履责方式</w:t>
            </w:r>
          </w:p>
        </w:tc>
        <w:tc>
          <w:tcPr>
            <w:tcW w:w="3875"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追责情形</w:t>
            </w:r>
          </w:p>
        </w:tc>
      </w:tr>
      <w:tr>
        <w:tblPrEx>
          <w:tblLayout w:type="fixed"/>
          <w:tblCellMar>
            <w:top w:w="0" w:type="dxa"/>
            <w:left w:w="0" w:type="dxa"/>
            <w:bottom w:w="0" w:type="dxa"/>
            <w:right w:w="0" w:type="dxa"/>
          </w:tblCellMar>
        </w:tblPrEx>
        <w:trPr>
          <w:trHeight w:val="66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无</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eastAsia="宋体" w:cs="宋体"/>
                <w:color w:val="000000"/>
                <w:sz w:val="24"/>
              </w:rPr>
            </w:pPr>
          </w:p>
        </w:tc>
        <w:tc>
          <w:tcPr>
            <w:tcW w:w="125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eastAsia="宋体" w:cs="宋体"/>
                <w:color w:val="000000"/>
                <w:sz w:val="24"/>
              </w:rPr>
            </w:pP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eastAsia="宋体" w:cs="宋体"/>
                <w:color w:val="000000"/>
                <w:sz w:val="24"/>
              </w:rPr>
            </w:pPr>
          </w:p>
        </w:tc>
        <w:tc>
          <w:tcPr>
            <w:tcW w:w="1121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eastAsia="宋体" w:cs="宋体"/>
                <w:color w:val="000000"/>
                <w:sz w:val="24"/>
              </w:rPr>
            </w:pPr>
          </w:p>
        </w:tc>
        <w:tc>
          <w:tcPr>
            <w:tcW w:w="3875"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eastAsia="宋体" w:cs="宋体"/>
                <w:color w:val="000000"/>
                <w:sz w:val="24"/>
              </w:rPr>
            </w:pPr>
          </w:p>
        </w:tc>
      </w:tr>
    </w:tbl>
    <w:p>
      <w:pPr>
        <w:rPr>
          <w:rFonts w:ascii="楷体" w:hAnsi="楷体" w:eastAsia="楷体" w:cs="楷体"/>
          <w:b/>
          <w:bCs/>
          <w:sz w:val="32"/>
          <w:szCs w:val="32"/>
        </w:rPr>
      </w:pPr>
      <w:r>
        <w:rPr>
          <w:rFonts w:ascii="楷体" w:hAnsi="楷体" w:eastAsia="楷体" w:cs="楷体"/>
          <w:b/>
          <w:bCs/>
          <w:sz w:val="32"/>
          <w:szCs w:val="32"/>
        </w:rPr>
        <w:br w:type="page"/>
      </w:r>
    </w:p>
    <w:p>
      <w:pPr>
        <w:jc w:val="center"/>
        <w:rPr>
          <w:rFonts w:ascii="楷体_GB2312" w:hAnsi="楷体" w:eastAsia="楷体_GB2312" w:cs="楷体"/>
          <w:b/>
          <w:bCs/>
          <w:sz w:val="32"/>
          <w:szCs w:val="32"/>
        </w:rPr>
      </w:pPr>
      <w:r>
        <w:rPr>
          <w:rFonts w:hint="eastAsia" w:ascii="楷体_GB2312" w:hAnsi="楷体" w:eastAsia="楷体_GB2312" w:cs="楷体"/>
          <w:b/>
          <w:bCs/>
          <w:sz w:val="32"/>
          <w:szCs w:val="32"/>
        </w:rPr>
        <w:t>（八）其他</w:t>
      </w:r>
    </w:p>
    <w:tbl>
      <w:tblPr>
        <w:tblStyle w:val="7"/>
        <w:tblW w:w="20785" w:type="dxa"/>
        <w:tblInd w:w="0" w:type="dxa"/>
        <w:tblLayout w:type="fixed"/>
        <w:tblCellMar>
          <w:top w:w="0" w:type="dxa"/>
          <w:left w:w="0" w:type="dxa"/>
          <w:bottom w:w="0" w:type="dxa"/>
          <w:right w:w="0" w:type="dxa"/>
        </w:tblCellMar>
      </w:tblPr>
      <w:tblGrid>
        <w:gridCol w:w="866"/>
        <w:gridCol w:w="1244"/>
        <w:gridCol w:w="837"/>
        <w:gridCol w:w="2925"/>
        <w:gridCol w:w="10100"/>
        <w:gridCol w:w="4813"/>
      </w:tblGrid>
      <w:tr>
        <w:tblPrEx>
          <w:tblLayout w:type="fixed"/>
          <w:tblCellMar>
            <w:top w:w="0" w:type="dxa"/>
            <w:left w:w="0" w:type="dxa"/>
            <w:bottom w:w="0" w:type="dxa"/>
            <w:right w:w="0" w:type="dxa"/>
          </w:tblCellMar>
        </w:tblPrEx>
        <w:trPr>
          <w:trHeight w:val="600" w:hRule="atLeast"/>
          <w:tblHeader/>
        </w:trPr>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序号</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职权名称</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子项</w:t>
            </w:r>
          </w:p>
        </w:tc>
        <w:tc>
          <w:tcPr>
            <w:tcW w:w="29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设定依据</w:t>
            </w:r>
          </w:p>
        </w:tc>
        <w:tc>
          <w:tcPr>
            <w:tcW w:w="101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履责方式</w:t>
            </w:r>
          </w:p>
        </w:tc>
        <w:tc>
          <w:tcPr>
            <w:tcW w:w="481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追责情形</w:t>
            </w:r>
          </w:p>
        </w:tc>
      </w:tr>
      <w:tr>
        <w:tblPrEx>
          <w:tblLayout w:type="fixed"/>
          <w:tblCellMar>
            <w:top w:w="0" w:type="dxa"/>
            <w:left w:w="0" w:type="dxa"/>
            <w:bottom w:w="0" w:type="dxa"/>
            <w:right w:w="0" w:type="dxa"/>
          </w:tblCellMar>
        </w:tblPrEx>
        <w:trPr>
          <w:trHeight w:val="180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8.1</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加收滞纳金</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eastAsia="宋体" w:cs="宋体"/>
                <w:color w:val="000000"/>
                <w:sz w:val="24"/>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《中华人民共和国税收征收管理法》第三十二条。</w:t>
            </w:r>
          </w:p>
        </w:tc>
        <w:tc>
          <w:tcPr>
            <w:tcW w:w="101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相关程序和要求</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1.税务机关应当通过官方网站、办税服务场所等渠道公开加收滞纳金的主体、权限、依据、程序、救济渠道、流程图等；</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2.税务机关在税款征收过程中，发现纳税人、扣缴义务人未按规定期限缴纳、解缴税款的，应当按规定加收滞纳金；</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3.对纳税人、扣缴义务人、纳税担保人应缴纳的欠税及滞纳金，可以先行缴纳欠税，再依法缴纳滞纳金；</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4.符合税收法律、法规及相关规定中不予加收滞纳金情形的，税务机关不予加收滞纳金；</w:t>
            </w:r>
          </w:p>
          <w:p>
            <w:pPr>
              <w:widowControl/>
              <w:jc w:val="left"/>
              <w:textAlignment w:val="center"/>
              <w:rPr>
                <w:rFonts w:ascii="宋体" w:hAnsi="宋体" w:eastAsia="宋体" w:cs="宋体"/>
                <w:color w:val="000000"/>
                <w:sz w:val="24"/>
              </w:rPr>
            </w:pPr>
            <w:r>
              <w:rPr>
                <w:rFonts w:hint="eastAsia" w:ascii="宋体" w:hAnsi="宋体" w:cs="宋体"/>
                <w:color w:val="000000"/>
                <w:kern w:val="0"/>
                <w:sz w:val="24"/>
              </w:rPr>
              <w:t>5.税务机关加收滞纳金应当开具税收票证。</w:t>
            </w:r>
          </w:p>
        </w:tc>
        <w:tc>
          <w:tcPr>
            <w:tcW w:w="481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1.利用职务上的便利，收受或者索取纳税人、扣缴义务人财物或者谋取其他不正当利益的；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4.未按照规定为纳税人、扣缴义务人保密的；</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5.法律、行政法规等规定的其他不履行或者不正确履行行政职责的情形。</w:t>
            </w:r>
          </w:p>
        </w:tc>
      </w:tr>
      <w:tr>
        <w:tblPrEx>
          <w:tblLayout w:type="fixed"/>
          <w:tblCellMar>
            <w:top w:w="0" w:type="dxa"/>
            <w:left w:w="0" w:type="dxa"/>
            <w:bottom w:w="0" w:type="dxa"/>
            <w:right w:w="0" w:type="dxa"/>
          </w:tblCellMar>
        </w:tblPrEx>
        <w:trPr>
          <w:trHeight w:val="819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24"/>
              </w:rPr>
            </w:pPr>
          </w:p>
          <w:p>
            <w:pPr>
              <w:widowControl/>
              <w:jc w:val="center"/>
              <w:textAlignment w:val="center"/>
              <w:rPr>
                <w:rFonts w:ascii="宋体" w:hAnsi="宋体" w:eastAsia="宋体" w:cs="宋体"/>
                <w:color w:val="000000"/>
                <w:kern w:val="0"/>
                <w:sz w:val="24"/>
              </w:rPr>
            </w:pPr>
          </w:p>
          <w:p>
            <w:pPr>
              <w:widowControl/>
              <w:jc w:val="center"/>
              <w:textAlignment w:val="center"/>
              <w:rPr>
                <w:rFonts w:ascii="宋体" w:hAnsi="宋体" w:eastAsia="宋体" w:cs="宋体"/>
                <w:color w:val="000000"/>
                <w:kern w:val="0"/>
                <w:sz w:val="24"/>
              </w:rPr>
            </w:pPr>
          </w:p>
          <w:p>
            <w:pPr>
              <w:widowControl/>
              <w:jc w:val="center"/>
              <w:textAlignment w:val="center"/>
              <w:rPr>
                <w:rFonts w:ascii="宋体" w:hAnsi="宋体" w:eastAsia="宋体" w:cs="宋体"/>
                <w:color w:val="000000"/>
                <w:kern w:val="0"/>
                <w:sz w:val="24"/>
              </w:rPr>
            </w:pPr>
          </w:p>
          <w:p>
            <w:pPr>
              <w:widowControl/>
              <w:jc w:val="center"/>
              <w:textAlignment w:val="center"/>
              <w:rPr>
                <w:rFonts w:ascii="宋体" w:hAnsi="宋体" w:eastAsia="宋体" w:cs="宋体"/>
                <w:color w:val="000000"/>
                <w:kern w:val="0"/>
                <w:sz w:val="24"/>
              </w:rPr>
            </w:pPr>
          </w:p>
          <w:p>
            <w:pPr>
              <w:widowControl/>
              <w:jc w:val="center"/>
              <w:textAlignment w:val="center"/>
              <w:rPr>
                <w:rFonts w:ascii="宋体" w:hAnsi="宋体" w:eastAsia="宋体" w:cs="宋体"/>
                <w:color w:val="000000"/>
                <w:kern w:val="0"/>
                <w:sz w:val="24"/>
              </w:rPr>
            </w:pPr>
          </w:p>
          <w:p>
            <w:pPr>
              <w:widowControl/>
              <w:jc w:val="center"/>
              <w:textAlignment w:val="center"/>
              <w:rPr>
                <w:rFonts w:ascii="宋体" w:hAnsi="宋体" w:eastAsia="宋体" w:cs="宋体"/>
                <w:color w:val="000000"/>
                <w:kern w:val="0"/>
                <w:sz w:val="24"/>
              </w:rPr>
            </w:pPr>
          </w:p>
          <w:p>
            <w:pPr>
              <w:widowControl/>
              <w:jc w:val="center"/>
              <w:textAlignment w:val="center"/>
              <w:rPr>
                <w:rFonts w:ascii="宋体" w:hAnsi="宋体" w:eastAsia="宋体" w:cs="宋体"/>
                <w:color w:val="000000"/>
                <w:kern w:val="0"/>
                <w:sz w:val="24"/>
              </w:rPr>
            </w:pPr>
          </w:p>
          <w:p>
            <w:pPr>
              <w:widowControl/>
              <w:jc w:val="center"/>
              <w:textAlignment w:val="center"/>
              <w:rPr>
                <w:rFonts w:ascii="宋体" w:hAnsi="宋体" w:eastAsia="宋体" w:cs="宋体"/>
                <w:color w:val="000000"/>
                <w:kern w:val="0"/>
                <w:sz w:val="24"/>
              </w:rPr>
            </w:pPr>
          </w:p>
          <w:p>
            <w:pPr>
              <w:widowControl/>
              <w:jc w:val="center"/>
              <w:textAlignment w:val="center"/>
              <w:rPr>
                <w:rFonts w:ascii="宋体" w:hAnsi="宋体" w:eastAsia="宋体" w:cs="宋体"/>
                <w:color w:val="000000"/>
                <w:kern w:val="0"/>
                <w:sz w:val="24"/>
              </w:rPr>
            </w:pPr>
          </w:p>
          <w:p>
            <w:pPr>
              <w:widowControl/>
              <w:jc w:val="center"/>
              <w:textAlignment w:val="center"/>
              <w:rPr>
                <w:rFonts w:ascii="宋体" w:hAnsi="宋体" w:eastAsia="宋体" w:cs="宋体"/>
                <w:color w:val="000000"/>
                <w:kern w:val="0"/>
                <w:sz w:val="24"/>
              </w:rPr>
            </w:pPr>
          </w:p>
          <w:p>
            <w:pPr>
              <w:widowControl/>
              <w:jc w:val="center"/>
              <w:textAlignment w:val="center"/>
              <w:rPr>
                <w:rFonts w:ascii="宋体" w:hAnsi="宋体" w:eastAsia="宋体" w:cs="宋体"/>
                <w:color w:val="000000"/>
                <w:kern w:val="0"/>
                <w:sz w:val="24"/>
              </w:rPr>
            </w:pPr>
          </w:p>
          <w:p>
            <w:pPr>
              <w:widowControl/>
              <w:jc w:val="center"/>
              <w:textAlignment w:val="center"/>
              <w:rPr>
                <w:rFonts w:ascii="宋体" w:hAnsi="宋体" w:eastAsia="宋体" w:cs="宋体"/>
                <w:color w:val="000000"/>
                <w:kern w:val="0"/>
                <w:sz w:val="24"/>
              </w:rPr>
            </w:pPr>
          </w:p>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8.2</w:t>
            </w:r>
          </w:p>
          <w:p>
            <w:pPr>
              <w:widowControl/>
              <w:jc w:val="center"/>
              <w:textAlignment w:val="center"/>
              <w:rPr>
                <w:rFonts w:ascii="宋体" w:hAnsi="宋体" w:eastAsia="宋体" w:cs="宋体"/>
                <w:color w:val="000000"/>
                <w:kern w:val="0"/>
                <w:sz w:val="24"/>
              </w:rPr>
            </w:pPr>
          </w:p>
          <w:p>
            <w:pPr>
              <w:widowControl/>
              <w:jc w:val="center"/>
              <w:textAlignment w:val="center"/>
              <w:rPr>
                <w:rFonts w:ascii="宋体" w:hAnsi="宋体" w:eastAsia="宋体" w:cs="宋体"/>
                <w:color w:val="000000"/>
                <w:kern w:val="0"/>
                <w:sz w:val="24"/>
              </w:rPr>
            </w:pPr>
          </w:p>
          <w:p>
            <w:pPr>
              <w:widowControl/>
              <w:jc w:val="center"/>
              <w:textAlignment w:val="center"/>
              <w:rPr>
                <w:rFonts w:ascii="宋体" w:hAnsi="宋体" w:eastAsia="宋体" w:cs="宋体"/>
                <w:color w:val="000000"/>
                <w:kern w:val="0"/>
                <w:sz w:val="24"/>
              </w:rPr>
            </w:pPr>
          </w:p>
          <w:p>
            <w:pPr>
              <w:widowControl/>
              <w:jc w:val="center"/>
              <w:textAlignment w:val="center"/>
              <w:rPr>
                <w:rFonts w:ascii="宋体" w:hAnsi="宋体" w:eastAsia="宋体" w:cs="宋体"/>
                <w:color w:val="000000"/>
                <w:kern w:val="0"/>
                <w:sz w:val="24"/>
              </w:rPr>
            </w:pPr>
          </w:p>
          <w:p>
            <w:pPr>
              <w:widowControl/>
              <w:jc w:val="center"/>
              <w:textAlignment w:val="center"/>
              <w:rPr>
                <w:rFonts w:ascii="宋体" w:hAnsi="宋体" w:eastAsia="宋体" w:cs="宋体"/>
                <w:color w:val="000000"/>
                <w:kern w:val="0"/>
                <w:sz w:val="24"/>
              </w:rPr>
            </w:pPr>
          </w:p>
          <w:p>
            <w:pPr>
              <w:widowControl/>
              <w:jc w:val="center"/>
              <w:textAlignment w:val="center"/>
              <w:rPr>
                <w:rFonts w:ascii="宋体" w:hAnsi="宋体" w:eastAsia="宋体" w:cs="宋体"/>
                <w:color w:val="000000"/>
                <w:kern w:val="0"/>
                <w:sz w:val="24"/>
              </w:rPr>
            </w:pPr>
          </w:p>
          <w:p>
            <w:pPr>
              <w:widowControl/>
              <w:jc w:val="center"/>
              <w:textAlignment w:val="center"/>
              <w:rPr>
                <w:rFonts w:ascii="宋体" w:hAnsi="宋体" w:eastAsia="宋体" w:cs="宋体"/>
                <w:color w:val="000000"/>
                <w:kern w:val="0"/>
                <w:sz w:val="24"/>
              </w:rPr>
            </w:pPr>
          </w:p>
          <w:p>
            <w:pPr>
              <w:widowControl/>
              <w:jc w:val="center"/>
              <w:textAlignment w:val="center"/>
              <w:rPr>
                <w:rFonts w:ascii="宋体" w:hAnsi="宋体" w:eastAsia="宋体" w:cs="宋体"/>
                <w:color w:val="000000"/>
                <w:kern w:val="0"/>
                <w:sz w:val="24"/>
              </w:rPr>
            </w:pPr>
          </w:p>
          <w:p>
            <w:pPr>
              <w:widowControl/>
              <w:jc w:val="center"/>
              <w:textAlignment w:val="center"/>
              <w:rPr>
                <w:rFonts w:ascii="宋体" w:hAnsi="宋体" w:eastAsia="宋体" w:cs="宋体"/>
                <w:color w:val="000000"/>
                <w:kern w:val="0"/>
                <w:sz w:val="24"/>
              </w:rPr>
            </w:pPr>
          </w:p>
          <w:p>
            <w:pPr>
              <w:widowControl/>
              <w:jc w:val="center"/>
              <w:textAlignment w:val="center"/>
              <w:rPr>
                <w:rFonts w:ascii="宋体" w:hAnsi="宋体" w:eastAsia="宋体" w:cs="宋体"/>
                <w:color w:val="000000"/>
                <w:kern w:val="0"/>
                <w:sz w:val="24"/>
              </w:rPr>
            </w:pPr>
          </w:p>
          <w:p>
            <w:pPr>
              <w:widowControl/>
              <w:jc w:val="center"/>
              <w:textAlignment w:val="center"/>
              <w:rPr>
                <w:rFonts w:ascii="宋体" w:hAnsi="宋体" w:eastAsia="宋体" w:cs="宋体"/>
                <w:color w:val="000000"/>
                <w:kern w:val="0"/>
                <w:sz w:val="24"/>
              </w:rPr>
            </w:pPr>
          </w:p>
          <w:p>
            <w:pPr>
              <w:widowControl/>
              <w:jc w:val="center"/>
              <w:textAlignment w:val="center"/>
              <w:rPr>
                <w:rFonts w:ascii="宋体" w:hAnsi="宋体" w:eastAsia="宋体" w:cs="宋体"/>
                <w:color w:val="000000"/>
                <w:kern w:val="0"/>
                <w:sz w:val="24"/>
              </w:rPr>
            </w:pPr>
          </w:p>
          <w:p>
            <w:pPr>
              <w:widowControl/>
              <w:jc w:val="center"/>
              <w:textAlignment w:val="center"/>
              <w:rPr>
                <w:rFonts w:ascii="宋体" w:hAnsi="宋体" w:eastAsia="宋体" w:cs="宋体"/>
                <w:color w:val="000000"/>
                <w:kern w:val="0"/>
                <w:sz w:val="24"/>
              </w:rPr>
            </w:pPr>
          </w:p>
          <w:p>
            <w:pPr>
              <w:widowControl/>
              <w:jc w:val="center"/>
              <w:textAlignment w:val="center"/>
              <w:rPr>
                <w:rFonts w:ascii="宋体" w:hAnsi="宋体" w:eastAsia="宋体" w:cs="宋体"/>
                <w:color w:val="000000"/>
                <w:kern w:val="0"/>
                <w:sz w:val="24"/>
              </w:rPr>
            </w:pPr>
          </w:p>
          <w:p>
            <w:pPr>
              <w:widowControl/>
              <w:jc w:val="center"/>
              <w:textAlignment w:val="center"/>
              <w:rPr>
                <w:rFonts w:ascii="宋体" w:hAnsi="宋体" w:eastAsia="宋体" w:cs="宋体"/>
                <w:color w:val="000000"/>
                <w:kern w:val="0"/>
                <w:sz w:val="24"/>
              </w:rPr>
            </w:pPr>
          </w:p>
          <w:p>
            <w:pPr>
              <w:widowControl/>
              <w:jc w:val="center"/>
              <w:textAlignment w:val="center"/>
              <w:rPr>
                <w:rFonts w:ascii="宋体" w:hAnsi="宋体" w:eastAsia="宋体" w:cs="宋体"/>
                <w:color w:val="000000"/>
                <w:kern w:val="0"/>
                <w:sz w:val="24"/>
              </w:rPr>
            </w:pPr>
          </w:p>
          <w:p>
            <w:pPr>
              <w:widowControl/>
              <w:jc w:val="center"/>
              <w:textAlignment w:val="center"/>
              <w:rPr>
                <w:rFonts w:ascii="宋体" w:hAnsi="宋体" w:eastAsia="宋体" w:cs="宋体"/>
                <w:color w:val="000000"/>
                <w:kern w:val="0"/>
                <w:sz w:val="24"/>
              </w:rPr>
            </w:pPr>
          </w:p>
          <w:p>
            <w:pPr>
              <w:widowControl/>
              <w:jc w:val="center"/>
              <w:textAlignment w:val="center"/>
              <w:rPr>
                <w:rFonts w:ascii="宋体" w:hAnsi="宋体" w:eastAsia="宋体" w:cs="宋体"/>
                <w:color w:val="000000"/>
                <w:kern w:val="0"/>
                <w:sz w:val="24"/>
              </w:rPr>
            </w:pPr>
          </w:p>
          <w:p>
            <w:pPr>
              <w:widowControl/>
              <w:jc w:val="center"/>
              <w:textAlignment w:val="center"/>
              <w:rPr>
                <w:rFonts w:ascii="宋体" w:hAnsi="宋体" w:eastAsia="宋体" w:cs="宋体"/>
                <w:color w:val="000000"/>
                <w:kern w:val="0"/>
                <w:sz w:val="24"/>
              </w:rPr>
            </w:pPr>
          </w:p>
          <w:p>
            <w:pPr>
              <w:widowControl/>
              <w:jc w:val="center"/>
              <w:textAlignment w:val="center"/>
              <w:rPr>
                <w:rFonts w:ascii="宋体" w:hAnsi="宋体" w:eastAsia="宋体" w:cs="宋体"/>
                <w:color w:val="000000"/>
                <w:kern w:val="0"/>
                <w:sz w:val="24"/>
              </w:rPr>
            </w:pPr>
          </w:p>
          <w:p>
            <w:pPr>
              <w:widowControl/>
              <w:jc w:val="center"/>
              <w:textAlignment w:val="center"/>
              <w:rPr>
                <w:rFonts w:ascii="宋体" w:hAnsi="宋体" w:eastAsia="宋体" w:cs="宋体"/>
                <w:color w:val="000000"/>
                <w:kern w:val="0"/>
                <w:sz w:val="24"/>
              </w:rPr>
            </w:pPr>
          </w:p>
          <w:p>
            <w:pPr>
              <w:widowControl/>
              <w:jc w:val="center"/>
              <w:textAlignment w:val="center"/>
              <w:rPr>
                <w:rFonts w:ascii="宋体" w:hAnsi="宋体" w:eastAsia="宋体" w:cs="宋体"/>
                <w:color w:val="000000"/>
                <w:kern w:val="0"/>
                <w:sz w:val="24"/>
              </w:rPr>
            </w:pPr>
          </w:p>
          <w:p>
            <w:pPr>
              <w:widowControl/>
              <w:jc w:val="center"/>
              <w:textAlignment w:val="center"/>
              <w:rPr>
                <w:rFonts w:ascii="宋体" w:hAnsi="宋体" w:eastAsia="宋体" w:cs="宋体"/>
                <w:color w:val="000000"/>
                <w:kern w:val="0"/>
                <w:sz w:val="24"/>
              </w:rPr>
            </w:pPr>
          </w:p>
          <w:p>
            <w:pPr>
              <w:widowControl/>
              <w:jc w:val="center"/>
              <w:textAlignment w:val="center"/>
              <w:rPr>
                <w:rFonts w:ascii="宋体" w:hAnsi="宋体" w:eastAsia="宋体" w:cs="宋体"/>
                <w:color w:val="000000"/>
                <w:kern w:val="0"/>
                <w:sz w:val="24"/>
              </w:rPr>
            </w:pPr>
          </w:p>
          <w:p>
            <w:pPr>
              <w:widowControl/>
              <w:jc w:val="center"/>
              <w:textAlignment w:val="center"/>
              <w:rPr>
                <w:rFonts w:ascii="宋体" w:hAnsi="宋体" w:eastAsia="宋体" w:cs="宋体"/>
                <w:color w:val="000000"/>
                <w:kern w:val="0"/>
                <w:sz w:val="24"/>
              </w:rPr>
            </w:pPr>
          </w:p>
          <w:p>
            <w:pPr>
              <w:widowControl/>
              <w:jc w:val="center"/>
              <w:textAlignment w:val="center"/>
              <w:rPr>
                <w:rFonts w:ascii="宋体" w:hAnsi="宋体" w:eastAsia="宋体" w:cs="宋体"/>
                <w:color w:val="000000"/>
                <w:kern w:val="0"/>
                <w:sz w:val="24"/>
              </w:rPr>
            </w:pPr>
          </w:p>
          <w:p>
            <w:pPr>
              <w:widowControl/>
              <w:jc w:val="center"/>
              <w:textAlignment w:val="center"/>
              <w:rPr>
                <w:rFonts w:ascii="宋体" w:hAnsi="宋体" w:eastAsia="宋体" w:cs="宋体"/>
                <w:color w:val="000000"/>
                <w:kern w:val="0"/>
                <w:sz w:val="24"/>
              </w:rPr>
            </w:pPr>
          </w:p>
          <w:p>
            <w:pPr>
              <w:widowControl/>
              <w:jc w:val="center"/>
              <w:textAlignment w:val="center"/>
              <w:rPr>
                <w:rFonts w:ascii="宋体" w:hAnsi="宋体" w:eastAsia="宋体" w:cs="宋体"/>
                <w:color w:val="000000"/>
                <w:kern w:val="0"/>
                <w:sz w:val="24"/>
              </w:rPr>
            </w:pPr>
          </w:p>
          <w:p>
            <w:pPr>
              <w:widowControl/>
              <w:jc w:val="center"/>
              <w:textAlignment w:val="center"/>
              <w:rPr>
                <w:rFonts w:ascii="宋体" w:hAnsi="宋体" w:eastAsia="宋体" w:cs="宋体"/>
                <w:color w:val="000000"/>
                <w:kern w:val="0"/>
                <w:sz w:val="24"/>
              </w:rPr>
            </w:pPr>
          </w:p>
          <w:p>
            <w:pPr>
              <w:widowControl/>
              <w:jc w:val="center"/>
              <w:textAlignment w:val="center"/>
              <w:rPr>
                <w:rFonts w:ascii="宋体" w:hAnsi="宋体" w:eastAsia="宋体" w:cs="宋体"/>
                <w:color w:val="000000"/>
                <w:kern w:val="0"/>
                <w:sz w:val="24"/>
              </w:rPr>
            </w:pPr>
          </w:p>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8.2</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税务登记</w:t>
            </w:r>
          </w:p>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税务登记</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宋体" w:hAnsi="宋体" w:eastAsia="宋体" w:cs="宋体"/>
                <w:color w:val="000000"/>
                <w:sz w:val="24"/>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1.《中华人民共和国税收征收管理法》第十五条第一款、第三款，第十六条。</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2.《税务登记管理办法》（国家税务总局令第7号公布，国家税务总局令第36号、第44号、第48号修改）第三条。</w:t>
            </w:r>
          </w:p>
        </w:tc>
        <w:tc>
          <w:tcPr>
            <w:tcW w:w="101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税务机关应当通过官方网站、办税服务场所等渠道公开税务登记的主体、权限、依据、程序、报送资料、救济渠道、服务指南、流程图等。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（一）设立税务登记</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1.税务机关应当受理未实行“多证合一”登记模式的纳税人税务登记申报，按规定发放税务登记证件；</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2.税务机关无需对已实行“多证合一”登记模式的纳税人再次进行税务登记，不再发放税务登记证。在其办理涉税事宜时，及时采集，陆续补齐其他必要涉税基础信息。</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（二）扣缴税款登记</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1.已办理税务登记的扣缴义务人向税务登记地税务机关申报办理扣缴税款登记的，税务机关应当受理扣缴义务人扣缴税款登记申报；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2.税务机关应当发放扣缴税款登记证，但对已办理税务登记的扣缴义务人，可以只在其税务登记证件上登记扣缴税款事项，不再发给扣缴税款登记证件。</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（三）变更税务登记</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1.税务机关应当受理未实行“多证合一”登记模式的纳税人变更税务登记申报，变更登记涉及税务登记证件内容变化的，按变更后的内容重新发放税务登记证件；</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多证合一”纳税人工商登记信息发生变更（除生产经营地、财务负责人、核算方式等信息外）的，税务机关应当接收通过信息交换平台共享的工商变更信息并更新税务系统内纳税人对应信息；“多证合一”纳税人生产经营地、财务负责人、核算方式等信息发生变化时，向主管税务机关申报变更。主管税务机关应将变更后的生产经营地、财务负责人、核算方式等信息即时共享至信息交换平台。</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（四）停复业登记</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1.税务机关应当受理实行定期定额征收方式个体工商户停业登记申报，收存税务登记证件及副本（已实行“多证合一”的纳税人除外）、发票领用簿、未使用完的发票和其他税务证件，办理停业登记；</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2.税务机关应当受理个体工商户复业申报，返还税务登记证件（已实行“多证合一”的纳税人除外）、发票领用簿及停业前领用的发票，办理复业登记。</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（五）跨区域涉税事项报验管理</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1.机构所在地的税务机关应当接收纳税人填报的《跨区域涉税事项报告表》；</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2.经营地的税务机关应当为首次在经营地办理涉税事宜的纳税人办理跨区域涉税事项报验；并在纳税人跨区域经营活动结束后，接收并核对纳税人填报的《经营地涉税事项反馈表》；</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3.纳税人跨区域经营合同延期的，经营地或机构所在地的税务机关应当为其办理报验管理有效期限延期手续；</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4.机构所在地和经营地的税务机关之间应当传递、实时共享跨区域报验管理事项的报告、报验、延期、反馈等信息。</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（六）税务注销</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对向市场监管部门申请简易注销的纳税人，税务部门通过信息共享获取市场监管部门推送的企业拟申请简易注销登记信息后，应当按照规定的程序和要求，查询税务信息系统核实企业的相关涉税情况，依据纳税人情况不提出异议或在公告期届满次日向市场监管部门提出异议；其中对于未办理过涉税事宜、或办理过涉税事宜但未领用发票、无欠税（滞纳金）及罚款的纳税人，可免予到税务机关办理清税证明，直接向市场监管部门申请办理注销登记；</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未办理过涉税事宜的纳税人，主动到税务机关办理清税的，税务机关可根据纳税人提供的营业执照即时出具清税文书，办理过涉税事宜但未领用发票、无欠税（滞纳金）及罚款的纳税人，主动到税务机关办理清税，资料齐全的，税务机关即时出具清税文书；资料不齐的，可采取“承诺制”容缺办理，在其作出承诺后，即时出具清税文书；</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3.对向市场监管部门申请一般注销的纳税人，按规定出具清税文书。其中，对符合“承诺制”容缺办理条件的纳税人，即时出具清税文书；</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4.处于非正常状态纳税人在办理税务注销前，需先解除非正常状态，补办纳税申报手续。符合规定情形的，税务机关可打印相应税种和相关附加的《批量零申报确认表》，经纳税人确认后，进行批量处理；</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5.对向税务机关办理注销登记的纳税人，结清应纳税款、多退（免）税款、滞纳金和罚款，缴销发票、相关证件等税务事项后，应当注销税务登记证件；</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6.经人民法院裁定宣告破产的纳税人，持人民法院终结破产程序裁定书向税务机关申请税务注销的，税务机关即时出具清税文书，按照有关规定核销“死欠”。</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1.税务机关应当加强税务登记管理，可以采取实地调查、上门验证等方法；</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2.税务机关应当对扣缴义务人是否如实申报代扣代缴税款有关情况进行监督和检查，防范扣缴义务人不履行税法义务带来的税收管理风险；</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3.税务机关应当加强跨区域涉税事项报验管理，机构所在地的税务机关对纳税人已抵减税款、在经营地已预缴税款和应预缴税款进行分析、比对，发现疑点的，及时组织应对。</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三、部门间职责衔接</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税务机关应当将税务登记相关信息推送到信息共享交换平台。</w:t>
            </w:r>
          </w:p>
          <w:p>
            <w:pPr>
              <w:widowControl/>
              <w:jc w:val="left"/>
              <w:textAlignment w:val="center"/>
              <w:rPr>
                <w:rFonts w:ascii="宋体" w:hAnsi="宋体" w:eastAsia="宋体" w:cs="宋体"/>
                <w:color w:val="000000"/>
                <w:sz w:val="24"/>
              </w:rPr>
            </w:pPr>
          </w:p>
        </w:tc>
        <w:tc>
          <w:tcPr>
            <w:tcW w:w="48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1.税务人员徇私舞弊或者玩忽职守，违反规定为纳税人办理税务登记的；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2.滥用职权，故意刁难纳税人、扣缴义务人的；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3.利用职务上的便利，收受或者索取纳税人、扣缴义务人财物或者谋取其他不正当利益的；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4.未按照规定为纳税人、扣缴义务人保密的；</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5.法律、行政法规等规定的其他不履行或者不正确履行行政职责的情形。</w:t>
            </w:r>
          </w:p>
        </w:tc>
      </w:tr>
      <w:tr>
        <w:tblPrEx>
          <w:tblLayout w:type="fixed"/>
          <w:tblCellMar>
            <w:top w:w="0" w:type="dxa"/>
            <w:left w:w="0" w:type="dxa"/>
            <w:bottom w:w="0" w:type="dxa"/>
            <w:right w:w="0" w:type="dxa"/>
          </w:tblCellMar>
        </w:tblPrEx>
        <w:trPr>
          <w:trHeight w:val="4188"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8.3</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增值税一般纳税人资格登记（转登记）</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宋体" w:hAnsi="宋体" w:eastAsia="宋体" w:cs="宋体"/>
                <w:color w:val="000000"/>
                <w:sz w:val="24"/>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1.《中华人民共和国增值税暂行条例》第十三条。</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2.《增值税一般纳税人登记管理办法》（国家税务总局令第43号公布）。</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3.《财政部 税务总局关于统一增值税小规模纳税人标准的通知》（财税〔2018〕33号）。</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4.《国家税务总局关于小规模纳税人免征增值税政策有关征管问题的公告》(国家税务总局公告2019年第4号)。</w:t>
            </w:r>
          </w:p>
        </w:tc>
        <w:tc>
          <w:tcPr>
            <w:tcW w:w="101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一、相关程序和要求</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1.税务机关应当通过官方网站、办税服务场所等渠道公开增值税一般纳税人资格登记的主体、权限、依据、程序、报送资料、救济渠道、服务指南、流程图等；</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2.纳税人申报办理一般纳税人登记信息与税务登记信息一致的，主管税务机关应当当场登记；不一致或者不符合填列要求的，当场告知需要补正的内容；</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纳税人年应税销售额超过规定标准的且未按规定办理相关手续的，税务机关应当在规定期限内告知纳税人办理相关手续；纳税人在限期内不办理相关手续的，应按销售额依照增值税税率计算应纳税额，不得抵扣进项税额，也不得使用增值税专用发票；</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4.税务机关应当按照符合条件的增值税一般纳税人的要求，为其办理转登记为小规模纳税人。</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二、事中事后监管措施</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税务机关应当加强对税收风险的管理。对税收遵从度低的一般纳税人，主管税务机关可以实行纳税辅导期管理。</w:t>
            </w:r>
          </w:p>
          <w:p>
            <w:pPr>
              <w:widowControl/>
              <w:jc w:val="left"/>
              <w:textAlignment w:val="center"/>
              <w:rPr>
                <w:rFonts w:ascii="宋体" w:hAnsi="宋体" w:eastAsia="宋体" w:cs="宋体"/>
                <w:color w:val="000000"/>
                <w:sz w:val="24"/>
              </w:rPr>
            </w:pPr>
          </w:p>
        </w:tc>
        <w:tc>
          <w:tcPr>
            <w:tcW w:w="481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1.利用职务上的便利，收受或者索取纳税人财物或者谋取其他不正当利益的；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3.滥用职权，故意刁难纳税人的；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4.未按照规定为纳税人保密的；</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5.法律、行政法规等规定的其他不履行或者不正确履行行政职责的情形。</w:t>
            </w:r>
          </w:p>
        </w:tc>
      </w:tr>
      <w:tr>
        <w:tblPrEx>
          <w:tblLayout w:type="fixed"/>
          <w:tblCellMar>
            <w:top w:w="0" w:type="dxa"/>
            <w:left w:w="0" w:type="dxa"/>
            <w:bottom w:w="0" w:type="dxa"/>
            <w:right w:w="0" w:type="dxa"/>
          </w:tblCellMar>
        </w:tblPrEx>
        <w:trPr>
          <w:trHeight w:val="390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8.4</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代开发票</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宋体" w:hAnsi="宋体" w:eastAsia="宋体" w:cs="宋体"/>
                <w:color w:val="000000"/>
                <w:sz w:val="24"/>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1.《中华人民共和国发票管理办法》第十六条。</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w:t>
            </w:r>
            <w:r>
              <w:rPr>
                <w:rFonts w:hint="eastAsia" w:ascii="宋体" w:hAnsi="宋体" w:cs="宋体"/>
                <w:kern w:val="0"/>
                <w:sz w:val="24"/>
              </w:rPr>
              <w:t>《财政部 国家税务总局关于全面推开营业税改征增值税试点的通知》（财税〔2016〕36号）附件1第五十四条。</w:t>
            </w:r>
          </w:p>
        </w:tc>
        <w:tc>
          <w:tcPr>
            <w:tcW w:w="101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kern w:val="0"/>
                <w:sz w:val="24"/>
              </w:rPr>
            </w:pP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一、相关程序和要求</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1.税务机关应当通过官方网站、办税服务场所等渠道公开代开发票的主体、权限、依据、程序、报送资料、救济渠道、服务指南、流程图等；</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2.需要临时使用发票的单位和个人，可以根据规定</w:t>
            </w:r>
            <w:r>
              <w:rPr>
                <w:rFonts w:hint="eastAsia" w:ascii="宋体" w:hAnsi="宋体" w:cs="宋体"/>
                <w:kern w:val="0"/>
                <w:sz w:val="24"/>
              </w:rPr>
              <w:t>向税务机关申请</w:t>
            </w:r>
            <w:r>
              <w:rPr>
                <w:rFonts w:hint="eastAsia" w:ascii="宋体" w:hAnsi="宋体" w:cs="宋体"/>
                <w:color w:val="000000"/>
                <w:kern w:val="0"/>
                <w:sz w:val="24"/>
              </w:rPr>
              <w:t>代开发票。依照税收法律、行政法规规定应当缴纳税款的，税务机关应当先征收税款，再开具发票。税务机关根据发票管理的需要，可以按照国务院税务主管部门的规定委托其他单位代开发票；</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3.税务机关应当与受托代开发票的单位签订协议，明确代开发票的种类、对象、内容和相关责任等内容；</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4.已办理税务登记的小规模纳税人（包括个体经营者）以及国家税务总局确定的其他可予代开增值税专用发票的纳税人发生增值税应税行为、需要开具增值税专用发票时，可向其主管税务机关申请代开；</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5.选择自行开具增值税专用发票的小规模纳税人，税务机关不再为其代开增值税专用发票。</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二、事中事后监管措施</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1.税务机关为纳税人代开发票后，如果纳税人发生销货退回或销售折让的，必须在收回原发票并注明“作废”字样后重新开具销售发票或取得对方有效证明后开具红字发票；</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2.非法代开发票的，依照有关规定处罚。</w:t>
            </w:r>
          </w:p>
          <w:p>
            <w:pPr>
              <w:widowControl/>
              <w:jc w:val="left"/>
              <w:textAlignment w:val="center"/>
              <w:rPr>
                <w:rFonts w:ascii="宋体" w:hAnsi="宋体" w:eastAsia="宋体" w:cs="宋体"/>
                <w:color w:val="000000"/>
                <w:sz w:val="24"/>
              </w:rPr>
            </w:pPr>
          </w:p>
        </w:tc>
        <w:tc>
          <w:tcPr>
            <w:tcW w:w="48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1.利用职权之便，故意刁难使用发票的单位和个人，或者有违反发票管理法规行为的；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2.利用职务上的便利，收受或者索取纳税人财物或者谋取其他不正当利益的；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4.未按照规定为纳税人保密的；</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5.法律、行政法规等规定的其他不履行或者不正确履行行政职责的情形。</w:t>
            </w:r>
          </w:p>
        </w:tc>
      </w:tr>
      <w:tr>
        <w:tblPrEx>
          <w:tblLayout w:type="fixed"/>
          <w:tblCellMar>
            <w:top w:w="0" w:type="dxa"/>
            <w:left w:w="0" w:type="dxa"/>
            <w:bottom w:w="0" w:type="dxa"/>
            <w:right w:w="0" w:type="dxa"/>
          </w:tblCellMar>
        </w:tblPrEx>
        <w:trPr>
          <w:trHeight w:val="390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8.5</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收缴或停供发票</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eastAsia="宋体" w:cs="宋体"/>
                <w:color w:val="000000"/>
                <w:sz w:val="24"/>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《中华人民共和国税收征收管理法》第七十二条。</w:t>
            </w:r>
          </w:p>
        </w:tc>
        <w:tc>
          <w:tcPr>
            <w:tcW w:w="1010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相关程序和要求</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1.税务机关应当通过官方网站、办税服务场所等渠道公开收缴或停供发票的主体、权限、依据、程序、救济渠道、流程图等；</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2.纳税人、扣缴义务人有税收征管法规定的税收违法行为，拒不接受税务机关处理的，税务机关可以收缴其发票或者停止向其发售发票；</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3.已办理税务登记的纳税人未按照规定的期限申报纳税，在税务机关责令其限期改正后，逾期不改正的，税务机关应当派员实地检查，查无下落并且无法强制其履行纳税义务的，由检查人员制作非正常户认定书，存入纳税人档案，税务机关暂停其税务登记证件、发票领用簿和发票的使用。</w:t>
            </w:r>
          </w:p>
        </w:tc>
        <w:tc>
          <w:tcPr>
            <w:tcW w:w="481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left"/>
              <w:textAlignment w:val="center"/>
              <w:rPr>
                <w:rFonts w:ascii="宋体" w:hAnsi="宋体" w:cs="宋体"/>
                <w:color w:val="000000"/>
                <w:kern w:val="0"/>
                <w:sz w:val="24"/>
              </w:rPr>
            </w:pP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税务机关及其工作人员履行行政职责存在以下情形的，应当承担相应责任：</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1.利用职权之便，故意刁难印制、使用发票的单位和个人，或者有违反发票管理法规行为的；</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2.利用职务上的便利，收受或者索取纳税人、扣缴义务人财物或者谋取其他不正当利益的；</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3.徇私舞弊或者玩忽职守，不征或者少征应征税款，致使国家税收遭受重大损失的；</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4.滥用职权，故意刁难纳税人、扣缴义务人的；</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5.未按照规定为纳税人、扣缴义务人保密的；</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6.法律、行政法规等规定的其他不履行或者不正确履行行政职责的情形。</w:t>
            </w:r>
          </w:p>
          <w:p>
            <w:pPr>
              <w:widowControl/>
              <w:jc w:val="left"/>
              <w:textAlignment w:val="center"/>
              <w:rPr>
                <w:rFonts w:ascii="宋体" w:hAnsi="宋体" w:cs="宋体"/>
                <w:color w:val="000000"/>
                <w:sz w:val="24"/>
              </w:rPr>
            </w:pPr>
          </w:p>
        </w:tc>
      </w:tr>
    </w:tbl>
    <w:p>
      <w:pPr>
        <w:rPr>
          <w:rFonts w:hint="eastAsia" w:ascii="楷体" w:hAnsi="楷体" w:eastAsia="楷体" w:cs="楷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楷体" w:hAnsi="楷体" w:eastAsia="楷体" w:cs="楷体"/>
          <w:b/>
          <w:bCs/>
          <w:sz w:val="32"/>
          <w:szCs w:val="32"/>
          <w:lang w:val="en-US" w:eastAsia="zh-CN"/>
        </w:rPr>
      </w:pPr>
    </w:p>
    <w:sectPr>
      <w:footerReference r:id="rId3" w:type="default"/>
      <w:pgSz w:w="23757" w:h="16783"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Baskerville Old Face">
    <w:panose1 w:val="02020602080505020303"/>
    <w:charset w:val="00"/>
    <w:family w:val="roman"/>
    <w:pitch w:val="default"/>
    <w:sig w:usb0="00000003"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3350811"/>
    </w:sdtPr>
    <w:sdtContent>
      <w:p>
        <w:pPr>
          <w:pStyle w:val="2"/>
          <w:jc w:val="center"/>
        </w:pPr>
        <w:r>
          <w:fldChar w:fldCharType="begin"/>
        </w:r>
        <w:r>
          <w:instrText xml:space="preserve">PAGE   \* MERGEFORMAT</w:instrText>
        </w:r>
        <w:r>
          <w:fldChar w:fldCharType="separate"/>
        </w:r>
        <w:r>
          <w:rPr>
            <w:lang w:val="zh-CN"/>
          </w:rPr>
          <w:t>62</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1B1B3"/>
    <w:multiLevelType w:val="singleLevel"/>
    <w:tmpl w:val="53C1B1B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oNotDisplayPageBoundaries w:val="1"/>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53"/>
    <w:rsid w:val="000044AC"/>
    <w:rsid w:val="00007070"/>
    <w:rsid w:val="0001529D"/>
    <w:rsid w:val="00016394"/>
    <w:rsid w:val="00017E96"/>
    <w:rsid w:val="0002252A"/>
    <w:rsid w:val="000307F3"/>
    <w:rsid w:val="00031A72"/>
    <w:rsid w:val="00037DAF"/>
    <w:rsid w:val="000514D2"/>
    <w:rsid w:val="00057D51"/>
    <w:rsid w:val="00060893"/>
    <w:rsid w:val="0006224B"/>
    <w:rsid w:val="00065CFB"/>
    <w:rsid w:val="000716C1"/>
    <w:rsid w:val="000729CC"/>
    <w:rsid w:val="00087001"/>
    <w:rsid w:val="00092201"/>
    <w:rsid w:val="00097603"/>
    <w:rsid w:val="000C1D79"/>
    <w:rsid w:val="000C6F49"/>
    <w:rsid w:val="000E50D6"/>
    <w:rsid w:val="000F7C23"/>
    <w:rsid w:val="00144780"/>
    <w:rsid w:val="00147DAB"/>
    <w:rsid w:val="00176981"/>
    <w:rsid w:val="00180FEF"/>
    <w:rsid w:val="00194E5D"/>
    <w:rsid w:val="001B7D1B"/>
    <w:rsid w:val="001C0F4D"/>
    <w:rsid w:val="001C22F5"/>
    <w:rsid w:val="001C604A"/>
    <w:rsid w:val="001C7934"/>
    <w:rsid w:val="001D1138"/>
    <w:rsid w:val="001D159B"/>
    <w:rsid w:val="00226271"/>
    <w:rsid w:val="00241274"/>
    <w:rsid w:val="00242FAE"/>
    <w:rsid w:val="00262F3E"/>
    <w:rsid w:val="002703B6"/>
    <w:rsid w:val="0028329E"/>
    <w:rsid w:val="002922F3"/>
    <w:rsid w:val="002C48FC"/>
    <w:rsid w:val="002D432B"/>
    <w:rsid w:val="002D7301"/>
    <w:rsid w:val="002E29F8"/>
    <w:rsid w:val="002F3C33"/>
    <w:rsid w:val="00300D9B"/>
    <w:rsid w:val="00310DC7"/>
    <w:rsid w:val="00313CB5"/>
    <w:rsid w:val="00316782"/>
    <w:rsid w:val="00341340"/>
    <w:rsid w:val="00357375"/>
    <w:rsid w:val="00362947"/>
    <w:rsid w:val="00382EAD"/>
    <w:rsid w:val="003A3065"/>
    <w:rsid w:val="003A5185"/>
    <w:rsid w:val="003A7301"/>
    <w:rsid w:val="003B5FD2"/>
    <w:rsid w:val="003C1539"/>
    <w:rsid w:val="003C7AE2"/>
    <w:rsid w:val="003D7B87"/>
    <w:rsid w:val="003F1694"/>
    <w:rsid w:val="00402FE1"/>
    <w:rsid w:val="00417C83"/>
    <w:rsid w:val="00442249"/>
    <w:rsid w:val="0044280C"/>
    <w:rsid w:val="004646C8"/>
    <w:rsid w:val="00470F31"/>
    <w:rsid w:val="00477E01"/>
    <w:rsid w:val="004855A5"/>
    <w:rsid w:val="00493DFD"/>
    <w:rsid w:val="00496C9B"/>
    <w:rsid w:val="00497D6D"/>
    <w:rsid w:val="004A37DF"/>
    <w:rsid w:val="004B0C8B"/>
    <w:rsid w:val="004B53EF"/>
    <w:rsid w:val="004D0E27"/>
    <w:rsid w:val="004D1A9B"/>
    <w:rsid w:val="004E083E"/>
    <w:rsid w:val="004F5AFC"/>
    <w:rsid w:val="00500512"/>
    <w:rsid w:val="005115ED"/>
    <w:rsid w:val="00521B40"/>
    <w:rsid w:val="0055229A"/>
    <w:rsid w:val="00577C23"/>
    <w:rsid w:val="00584A66"/>
    <w:rsid w:val="00584D3A"/>
    <w:rsid w:val="005A58D5"/>
    <w:rsid w:val="005B5BFA"/>
    <w:rsid w:val="005C52CC"/>
    <w:rsid w:val="005D1CE2"/>
    <w:rsid w:val="005D50D8"/>
    <w:rsid w:val="005F177C"/>
    <w:rsid w:val="00621E1D"/>
    <w:rsid w:val="00634E06"/>
    <w:rsid w:val="0063623C"/>
    <w:rsid w:val="006510FD"/>
    <w:rsid w:val="0066367B"/>
    <w:rsid w:val="00677DAE"/>
    <w:rsid w:val="00680C1D"/>
    <w:rsid w:val="0069299E"/>
    <w:rsid w:val="00695890"/>
    <w:rsid w:val="006A042D"/>
    <w:rsid w:val="006A4B54"/>
    <w:rsid w:val="006B6A7F"/>
    <w:rsid w:val="006C04EE"/>
    <w:rsid w:val="006D6B3C"/>
    <w:rsid w:val="006E655C"/>
    <w:rsid w:val="007018CF"/>
    <w:rsid w:val="0070778C"/>
    <w:rsid w:val="00714A5D"/>
    <w:rsid w:val="0074745F"/>
    <w:rsid w:val="00747B14"/>
    <w:rsid w:val="00761742"/>
    <w:rsid w:val="00773EA4"/>
    <w:rsid w:val="0079345D"/>
    <w:rsid w:val="007B4E9A"/>
    <w:rsid w:val="007C6B35"/>
    <w:rsid w:val="007D6816"/>
    <w:rsid w:val="007E1153"/>
    <w:rsid w:val="007E1EE3"/>
    <w:rsid w:val="00802923"/>
    <w:rsid w:val="00803A1A"/>
    <w:rsid w:val="00841B20"/>
    <w:rsid w:val="00860A41"/>
    <w:rsid w:val="008A3E1C"/>
    <w:rsid w:val="008B5392"/>
    <w:rsid w:val="008B64BB"/>
    <w:rsid w:val="008C5411"/>
    <w:rsid w:val="008E658A"/>
    <w:rsid w:val="008F424A"/>
    <w:rsid w:val="00937230"/>
    <w:rsid w:val="009469AC"/>
    <w:rsid w:val="00992F2A"/>
    <w:rsid w:val="009A76A1"/>
    <w:rsid w:val="009C500A"/>
    <w:rsid w:val="009D1BEB"/>
    <w:rsid w:val="009D4618"/>
    <w:rsid w:val="009F1EC8"/>
    <w:rsid w:val="009F3713"/>
    <w:rsid w:val="00A02963"/>
    <w:rsid w:val="00A127B3"/>
    <w:rsid w:val="00A453B2"/>
    <w:rsid w:val="00A5166A"/>
    <w:rsid w:val="00A75A51"/>
    <w:rsid w:val="00A80664"/>
    <w:rsid w:val="00A84703"/>
    <w:rsid w:val="00A87004"/>
    <w:rsid w:val="00A916EC"/>
    <w:rsid w:val="00A932FC"/>
    <w:rsid w:val="00A96FD1"/>
    <w:rsid w:val="00AA17A4"/>
    <w:rsid w:val="00AA42EA"/>
    <w:rsid w:val="00AD028A"/>
    <w:rsid w:val="00AD39CB"/>
    <w:rsid w:val="00AF2933"/>
    <w:rsid w:val="00AF694E"/>
    <w:rsid w:val="00B1799F"/>
    <w:rsid w:val="00B410FE"/>
    <w:rsid w:val="00B4385B"/>
    <w:rsid w:val="00B5152C"/>
    <w:rsid w:val="00B63140"/>
    <w:rsid w:val="00B6376B"/>
    <w:rsid w:val="00B83AFF"/>
    <w:rsid w:val="00B869B4"/>
    <w:rsid w:val="00BB24BE"/>
    <w:rsid w:val="00BB68AD"/>
    <w:rsid w:val="00BE0E20"/>
    <w:rsid w:val="00BF0D5E"/>
    <w:rsid w:val="00BF4D92"/>
    <w:rsid w:val="00BF66FF"/>
    <w:rsid w:val="00C33418"/>
    <w:rsid w:val="00C525EC"/>
    <w:rsid w:val="00C53A0A"/>
    <w:rsid w:val="00C5486F"/>
    <w:rsid w:val="00C55DD2"/>
    <w:rsid w:val="00C611FB"/>
    <w:rsid w:val="00C636E8"/>
    <w:rsid w:val="00C73F2E"/>
    <w:rsid w:val="00C75788"/>
    <w:rsid w:val="00C76A92"/>
    <w:rsid w:val="00C96A57"/>
    <w:rsid w:val="00CA701B"/>
    <w:rsid w:val="00CB3AC2"/>
    <w:rsid w:val="00CB4B81"/>
    <w:rsid w:val="00CB67AA"/>
    <w:rsid w:val="00CC1FD7"/>
    <w:rsid w:val="00CC2EB5"/>
    <w:rsid w:val="00CC7E6B"/>
    <w:rsid w:val="00CE0136"/>
    <w:rsid w:val="00CE38C3"/>
    <w:rsid w:val="00CE5CE3"/>
    <w:rsid w:val="00D026C0"/>
    <w:rsid w:val="00D144AC"/>
    <w:rsid w:val="00D2562D"/>
    <w:rsid w:val="00D4000B"/>
    <w:rsid w:val="00D43105"/>
    <w:rsid w:val="00D50920"/>
    <w:rsid w:val="00D671B2"/>
    <w:rsid w:val="00D75239"/>
    <w:rsid w:val="00D811AF"/>
    <w:rsid w:val="00D93586"/>
    <w:rsid w:val="00D943A3"/>
    <w:rsid w:val="00D947E0"/>
    <w:rsid w:val="00DA5521"/>
    <w:rsid w:val="00DB3E33"/>
    <w:rsid w:val="00DC4D56"/>
    <w:rsid w:val="00DC505F"/>
    <w:rsid w:val="00DD455B"/>
    <w:rsid w:val="00DE1519"/>
    <w:rsid w:val="00DE589E"/>
    <w:rsid w:val="00E06BEF"/>
    <w:rsid w:val="00E122E0"/>
    <w:rsid w:val="00E270F1"/>
    <w:rsid w:val="00E35B9E"/>
    <w:rsid w:val="00E37710"/>
    <w:rsid w:val="00E45F86"/>
    <w:rsid w:val="00E51985"/>
    <w:rsid w:val="00E67294"/>
    <w:rsid w:val="00E71FBB"/>
    <w:rsid w:val="00E73865"/>
    <w:rsid w:val="00E755AD"/>
    <w:rsid w:val="00EA359A"/>
    <w:rsid w:val="00EA485D"/>
    <w:rsid w:val="00EC3369"/>
    <w:rsid w:val="00ED2299"/>
    <w:rsid w:val="00EE343E"/>
    <w:rsid w:val="00EF1043"/>
    <w:rsid w:val="00EF446D"/>
    <w:rsid w:val="00F04E32"/>
    <w:rsid w:val="00F0787E"/>
    <w:rsid w:val="00F157F4"/>
    <w:rsid w:val="00F21F6A"/>
    <w:rsid w:val="00F32A36"/>
    <w:rsid w:val="00F35333"/>
    <w:rsid w:val="00F47672"/>
    <w:rsid w:val="00F47AFA"/>
    <w:rsid w:val="00F60126"/>
    <w:rsid w:val="00F626A6"/>
    <w:rsid w:val="00F644B4"/>
    <w:rsid w:val="00F663F4"/>
    <w:rsid w:val="00F7194D"/>
    <w:rsid w:val="00F92C63"/>
    <w:rsid w:val="00FB57B1"/>
    <w:rsid w:val="00FF29A1"/>
    <w:rsid w:val="05E45CFB"/>
    <w:rsid w:val="09A25D91"/>
    <w:rsid w:val="1BFC3271"/>
    <w:rsid w:val="1D253A53"/>
    <w:rsid w:val="296E30C7"/>
    <w:rsid w:val="2B7D3E3D"/>
    <w:rsid w:val="2C157621"/>
    <w:rsid w:val="2E1E3CEC"/>
    <w:rsid w:val="30DE3939"/>
    <w:rsid w:val="338F7B2B"/>
    <w:rsid w:val="384513C3"/>
    <w:rsid w:val="3CB725F3"/>
    <w:rsid w:val="439B4BFF"/>
    <w:rsid w:val="4BE81132"/>
    <w:rsid w:val="4C986D6D"/>
    <w:rsid w:val="508E38C8"/>
    <w:rsid w:val="537815EE"/>
    <w:rsid w:val="59AF522C"/>
    <w:rsid w:val="5DD53C08"/>
    <w:rsid w:val="62D75E4C"/>
    <w:rsid w:val="64AA51EE"/>
    <w:rsid w:val="66CB7428"/>
    <w:rsid w:val="6A686C5F"/>
    <w:rsid w:val="751E5710"/>
    <w:rsid w:val="77DC2DAB"/>
    <w:rsid w:val="78F439D1"/>
    <w:rsid w:val="79EE67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3"/>
    <w:qFormat/>
    <w:uiPriority w:val="99"/>
    <w:pPr>
      <w:tabs>
        <w:tab w:val="center" w:pos="4153"/>
        <w:tab w:val="right" w:pos="8306"/>
      </w:tabs>
      <w:snapToGrid w:val="0"/>
      <w:jc w:val="left"/>
    </w:pPr>
    <w:rPr>
      <w:sz w:val="18"/>
      <w:szCs w:val="18"/>
    </w:rPr>
  </w:style>
  <w:style w:type="paragraph" w:styleId="3">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0"/>
    <w:pPr>
      <w:spacing w:before="75" w:beforeAutospacing="0" w:after="75" w:afterAutospacing="0"/>
      <w:ind w:left="0" w:right="0"/>
      <w:jc w:val="left"/>
    </w:pPr>
    <w:rPr>
      <w:kern w:val="0"/>
      <w:sz w:val="24"/>
      <w:lang w:val="en-US" w:eastAsia="zh-CN" w:bidi="ar"/>
    </w:rPr>
  </w:style>
  <w:style w:type="character" w:styleId="6">
    <w:name w:val="Strong"/>
    <w:basedOn w:val="5"/>
    <w:qFormat/>
    <w:uiPriority w:val="0"/>
    <w:rPr>
      <w:b/>
    </w:rPr>
  </w:style>
  <w:style w:type="character" w:customStyle="1" w:styleId="8">
    <w:name w:val="font11"/>
    <w:basedOn w:val="5"/>
    <w:qFormat/>
    <w:uiPriority w:val="0"/>
    <w:rPr>
      <w:rFonts w:hint="eastAsia" w:ascii="宋体" w:hAnsi="宋体" w:eastAsia="宋体" w:cs="宋体"/>
      <w:strike/>
      <w:color w:val="000000"/>
      <w:sz w:val="24"/>
      <w:szCs w:val="24"/>
    </w:rPr>
  </w:style>
  <w:style w:type="character" w:customStyle="1" w:styleId="9">
    <w:name w:val="font21"/>
    <w:basedOn w:val="5"/>
    <w:qFormat/>
    <w:uiPriority w:val="0"/>
    <w:rPr>
      <w:rFonts w:hint="eastAsia" w:ascii="宋体" w:hAnsi="宋体" w:eastAsia="宋体" w:cs="宋体"/>
      <w:color w:val="000000"/>
      <w:sz w:val="24"/>
      <w:szCs w:val="24"/>
      <w:u w:val="none"/>
    </w:rPr>
  </w:style>
  <w:style w:type="character" w:customStyle="1" w:styleId="10">
    <w:name w:val="font01"/>
    <w:basedOn w:val="5"/>
    <w:qFormat/>
    <w:uiPriority w:val="0"/>
    <w:rPr>
      <w:rFonts w:hint="eastAsia" w:ascii="宋体" w:hAnsi="宋体" w:eastAsia="宋体" w:cs="宋体"/>
      <w:color w:val="FF0000"/>
      <w:sz w:val="24"/>
      <w:szCs w:val="24"/>
      <w:u w:val="none"/>
    </w:rPr>
  </w:style>
  <w:style w:type="character" w:customStyle="1" w:styleId="11">
    <w:name w:val="font41"/>
    <w:basedOn w:val="5"/>
    <w:qFormat/>
    <w:uiPriority w:val="0"/>
    <w:rPr>
      <w:rFonts w:hint="eastAsia" w:ascii="宋体" w:hAnsi="宋体" w:eastAsia="宋体" w:cs="宋体"/>
      <w:color w:val="000000"/>
      <w:sz w:val="24"/>
      <w:szCs w:val="24"/>
      <w:u w:val="none"/>
    </w:rPr>
  </w:style>
  <w:style w:type="character" w:customStyle="1" w:styleId="12">
    <w:name w:val="页眉 Char"/>
    <w:basedOn w:val="5"/>
    <w:link w:val="3"/>
    <w:qFormat/>
    <w:uiPriority w:val="0"/>
    <w:rPr>
      <w:rFonts w:asciiTheme="minorHAnsi" w:hAnsiTheme="minorHAnsi" w:eastAsiaTheme="minorEastAsia" w:cstheme="minorBidi"/>
      <w:kern w:val="2"/>
      <w:sz w:val="18"/>
      <w:szCs w:val="18"/>
    </w:rPr>
  </w:style>
  <w:style w:type="character" w:customStyle="1" w:styleId="13">
    <w:name w:val="页脚 Char"/>
    <w:basedOn w:val="5"/>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16153</Words>
  <Characters>92077</Characters>
  <Lines>767</Lines>
  <Paragraphs>216</Paragraphs>
  <TotalTime>2</TotalTime>
  <ScaleCrop>false</ScaleCrop>
  <LinksUpToDate>false</LinksUpToDate>
  <CharactersWithSpaces>108014</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刘鹏</dc:creator>
  <cp:lastModifiedBy> </cp:lastModifiedBy>
  <dcterms:modified xsi:type="dcterms:W3CDTF">2020-07-21T09:22:01Z</dcterms:modified>
  <dc:title>国家税务总局永和县税务局第一税务分局权利和责任清单</dc:title>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