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县社</w:t>
      </w:r>
      <w:r>
        <w:rPr>
          <w:rFonts w:hint="eastAsia" w:ascii="Calibri" w:hAnsi="Calibri" w:eastAsia="宋体" w:cs="宋体"/>
          <w:color w:val="222222"/>
          <w:kern w:val="0"/>
          <w:sz w:val="32"/>
          <w:szCs w:val="32"/>
        </w:rPr>
        <w:t>2016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年部门决算情况说明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8"/>
          <w:szCs w:val="28"/>
        </w:rPr>
        <w:t>第一部分   概况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  1、供销社的主要职能：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在经济上独立承担责任，除国家委托的政策性经营任务外，上级联社不对下级联社下达经营任务，对成员社进行业务指导，协调与政府部门，社会组织的关系，行使本级社有资产出资人代表职能，监督社有资产保值增值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2、部门决算单位构成：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本级预算单位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8"/>
          <w:szCs w:val="28"/>
        </w:rPr>
        <w:t>第二部分   </w:t>
      </w:r>
      <w:r>
        <w:rPr>
          <w:rFonts w:hint="eastAsia" w:ascii="Calibri" w:hAnsi="Calibri" w:eastAsia="宋体" w:cs="宋体"/>
          <w:b/>
          <w:bCs/>
          <w:color w:val="222222"/>
          <w:kern w:val="0"/>
          <w:sz w:val="28"/>
          <w:szCs w:val="28"/>
        </w:rPr>
        <w:t>2016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28"/>
          <w:szCs w:val="28"/>
        </w:rPr>
        <w:t>年度部门决算报表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本部分内容见附表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8"/>
          <w:szCs w:val="28"/>
        </w:rPr>
        <w:t>第三部分    </w:t>
      </w:r>
      <w:r>
        <w:rPr>
          <w:rFonts w:hint="eastAsia" w:ascii="Calibri" w:hAnsi="Calibri" w:eastAsia="宋体" w:cs="宋体"/>
          <w:b/>
          <w:bCs/>
          <w:color w:val="222222"/>
          <w:kern w:val="0"/>
          <w:sz w:val="28"/>
          <w:szCs w:val="28"/>
        </w:rPr>
        <w:t>2016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28"/>
          <w:szCs w:val="28"/>
        </w:rPr>
        <w:t>年部门决算情况说明</w:t>
      </w:r>
    </w:p>
    <w:p>
      <w:pPr>
        <w:widowControl/>
        <w:shd w:val="clear" w:color="auto" w:fill="FFFFFF"/>
        <w:spacing w:line="293" w:lineRule="atLeast"/>
        <w:ind w:firstLine="560" w:firstLineChars="2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2016年度部门决算情况：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县财政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2016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年全年共计拨入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976240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全年支付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935787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较上年增加。行政运行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val="en-US" w:eastAsia="zh-CN"/>
        </w:rPr>
        <w:t>873575元。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rPr>
          <w:rFonts w:hint="eastAsia" w:ascii="宋体" w:hAnsi="宋体" w:eastAsia="宋体" w:cs="宋体"/>
          <w:color w:val="222222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全年支付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935787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元：主要是1、人员工资890008元。2、拨入全年经费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45779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元。其中办公经费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6063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元、水电费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7100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元、差旅费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8856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元、采暖费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5000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元、工会经费（看望老党员及困难职工）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3100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元、其他必要开支5500元、燃油及维修费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3000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2016年度</w:t>
      </w:r>
      <w:r>
        <w:rPr>
          <w:rFonts w:hint="eastAsia" w:ascii="Calibri" w:hAnsi="Calibri" w:eastAsia="宋体" w:cs="宋体"/>
          <w:color w:val="222222"/>
          <w:kern w:val="0"/>
          <w:sz w:val="28"/>
          <w:szCs w:val="28"/>
        </w:rPr>
        <w:t>无三公经费。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293" w:lineRule="atLeast"/>
        <w:ind w:firstLine="560"/>
        <w:jc w:val="right"/>
        <w:rPr>
          <w:rFonts w:hint="eastAsia" w:ascii="宋体" w:hAnsi="宋体" w:eastAsia="宋体" w:cs="宋体"/>
          <w:color w:val="222222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永和县供销合作社联合社</w:t>
      </w:r>
    </w:p>
    <w:p>
      <w:pPr>
        <w:widowControl/>
        <w:shd w:val="clear" w:color="auto" w:fill="FFFFFF"/>
        <w:spacing w:line="293" w:lineRule="atLeast"/>
        <w:ind w:right="560" w:firstLine="6020" w:firstLineChars="2150"/>
        <w:rPr>
          <w:rFonts w:ascii="宋体" w:hAnsi="宋体" w:eastAsia="宋体" w:cs="宋体"/>
          <w:color w:val="222222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2017.9.13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0C58"/>
    <w:rsid w:val="00384272"/>
    <w:rsid w:val="009F2A3F"/>
    <w:rsid w:val="00DB0C58"/>
    <w:rsid w:val="0CF20302"/>
    <w:rsid w:val="3EC12F38"/>
    <w:rsid w:val="7EDD487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66</Words>
  <Characters>382</Characters>
  <Lines>3</Lines>
  <Paragraphs>1</Paragraphs>
  <ScaleCrop>false</ScaleCrop>
  <LinksUpToDate>false</LinksUpToDate>
  <CharactersWithSpaces>447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2017-09-13T02:03:00Z</dcterms:created>
  <dc:creator>dreamsummit</dc:creator>
  <cp:lastModifiedBy>hp</cp:lastModifiedBy>
  <dcterms:modified xsi:type="dcterms:W3CDTF">2017-11-06T12:08:34Z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