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ascii="黑体" w:hAnsi="宋体" w:eastAsia="黑体" w:cs="黑体"/>
          <w:color w:val="222222"/>
          <w:kern w:val="2"/>
          <w:sz w:val="44"/>
          <w:szCs w:val="44"/>
          <w:lang w:val="en-US" w:eastAsia="zh-CN" w:bidi="ar"/>
        </w:rPr>
        <w:t>永和县食品药品监督管理局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黑体" w:hAnsi="宋体" w:eastAsia="黑体" w:cs="黑体"/>
          <w:color w:val="222222"/>
          <w:kern w:val="2"/>
          <w:sz w:val="44"/>
          <w:szCs w:val="44"/>
          <w:lang w:val="en-US" w:eastAsia="zh-CN" w:bidi="ar"/>
        </w:rPr>
        <w:t>2016年部门决算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黑体" w:hAnsi="宋体" w:eastAsia="黑体" w:cs="黑体"/>
          <w:color w:val="22222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第一部分  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640" w:leftChars="0" w:right="0" w:rightChars="0"/>
        <w:jc w:val="both"/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  <w:shd w:val="clear" w:fill="FFFFFF"/>
        </w:rPr>
        <w:t xml:space="preserve"> 一、主要职能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</w:rPr>
        <w:t xml:space="preserve">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lang w:val="en-US"/>
        </w:rPr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贯彻实施安全监管的法律、法规、规章、政策；承担食品生产、食品市场、食品餐饮、药品生产流通、医疗器械、保健食品、化妆品的安全监管；依法查处违法违规行为；  </w:t>
      </w:r>
      <w:r>
        <w:rPr>
          <w:rFonts w:hint="default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default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>二、部门决算单位的构成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>全局共有独立编制机构1个。其中：行政机构1个；事业机构4个。独立核算单位 1个，本年度参加决算单位1个。        全局现有编制31人 ，其中：行政编制10人；工勤编制1人；事业编制20人。全局现有人员30人 ，其中：行政10人，事业20人，比上年度增加8人。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第二部分2016年度部门决算报表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第三部分2016年度部门决算情况说明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（一）收入支出结构说明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1、一般预算财政拨款收入299.69万元，其中：财政拨款收入情况是：行政运行223.74万元，事业运行39.3万元，其他食品药品监督管理事物36.65万元。2015年收入250.23万元，财政拨款收入比去年增加19.77%，主要是新招8名公务员和事业人员，人员工资和公用经费等行政运行增加；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2、2016年行政经费支出276.3万元，其中：基本支出223.68万元；项目支出 52.62万元。本年结转资金24.45万元 ，是因为2016年中央下发的项目资金中，部分项目完成期限为2016和2017两个年度，故造成资金结转。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（二）资产负债情况说明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>2016年资产合计128.28万元。其中：固定资产103.83万元，比2015年增加了 12.97万元，主要是购置快检设备和仪器；流动资产24.45万元，是专项经费结转资金。  行政运行2237409元，无机关运行。</w:t>
      </w:r>
      <w:bookmarkStart w:id="0" w:name="_GoBack"/>
      <w:bookmarkEnd w:id="0"/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（三）“三公经费”支出说明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 2016年度三公经费支出6.27万元。其中：公务用车运行维护费6.1万元，比上年减少了5.28%，公务接待费0.17万元。我单位没有出国出境人员没有产生出境费用支出。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                   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                       永和县食品药品监督管理局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                              2017年9月14日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27160"/>
    <w:rsid w:val="1581730C"/>
    <w:rsid w:val="477D5390"/>
    <w:rsid w:val="4CB34266"/>
    <w:rsid w:val="563460F5"/>
    <w:rsid w:val="5E503511"/>
    <w:rsid w:val="6BAE70CE"/>
    <w:rsid w:val="6FE453E3"/>
    <w:rsid w:val="744D5DDA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kuaiji</dc:creator>
  <cp:lastModifiedBy>hp</cp:lastModifiedBy>
  <dcterms:modified xsi:type="dcterms:W3CDTF">2017-11-06T13:49:09Z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