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jc w:val="center"/>
        <w:rPr>
          <w:rFonts w:ascii="微软雅黑" w:hAnsi="微软雅黑" w:eastAsia="微软雅黑" w:cs="宋体"/>
          <w:color w:val="222222"/>
          <w:kern w:val="0"/>
          <w:sz w:val="16"/>
          <w:szCs w:val="16"/>
        </w:rPr>
      </w:pPr>
      <w:r>
        <w:rPr>
          <w:rFonts w:hint="eastAsia" w:ascii="黑体" w:hAnsi="黑体" w:eastAsia="黑体" w:cs="宋体"/>
          <w:color w:val="000000"/>
          <w:kern w:val="0"/>
          <w:sz w:val="44"/>
          <w:szCs w:val="44"/>
        </w:rPr>
        <w:t>永和县财政局2016年度部门决算</w:t>
      </w:r>
    </w:p>
    <w:p>
      <w:pPr>
        <w:widowControl/>
        <w:shd w:val="clear" w:color="auto" w:fill="FFFFFF"/>
        <w:spacing w:line="600" w:lineRule="atLeast"/>
        <w:jc w:val="center"/>
        <w:rPr>
          <w:rFonts w:ascii="微软雅黑" w:hAnsi="微软雅黑" w:eastAsia="微软雅黑" w:cs="宋体"/>
          <w:color w:val="222222"/>
          <w:kern w:val="0"/>
          <w:sz w:val="16"/>
          <w:szCs w:val="16"/>
        </w:rPr>
      </w:pPr>
      <w:r>
        <w:rPr>
          <w:rFonts w:hint="eastAsia" w:ascii="仿宋" w:hAnsi="仿宋" w:eastAsia="仿宋" w:cs="宋体"/>
          <w:b/>
          <w:bCs/>
          <w:color w:val="000000"/>
          <w:kern w:val="0"/>
          <w:sz w:val="30"/>
          <w:szCs w:val="30"/>
        </w:rPr>
        <w:t>第一部分</w:t>
      </w:r>
      <w:r>
        <w:rPr>
          <w:rFonts w:hint="eastAsia" w:ascii="宋体" w:hAnsi="宋体" w:eastAsia="宋体" w:cs="宋体"/>
          <w:b/>
          <w:bCs/>
          <w:color w:val="000000"/>
          <w:kern w:val="0"/>
          <w:sz w:val="30"/>
          <w:szCs w:val="30"/>
        </w:rPr>
        <w:t>  </w:t>
      </w:r>
      <w:r>
        <w:rPr>
          <w:rFonts w:hint="eastAsia" w:ascii="宋体" w:hAnsi="宋体" w:eastAsia="宋体" w:cs="宋体"/>
          <w:b/>
          <w:bCs/>
          <w:color w:val="000000"/>
          <w:kern w:val="0"/>
          <w:sz w:val="30"/>
        </w:rPr>
        <w:t> </w:t>
      </w:r>
      <w:r>
        <w:rPr>
          <w:rFonts w:hint="eastAsia" w:ascii="仿宋" w:hAnsi="仿宋" w:eastAsia="仿宋" w:cs="宋体"/>
          <w:b/>
          <w:bCs/>
          <w:color w:val="000000"/>
          <w:kern w:val="0"/>
          <w:sz w:val="30"/>
          <w:szCs w:val="30"/>
        </w:rPr>
        <w:t>概况</w:t>
      </w:r>
    </w:p>
    <w:p>
      <w:pPr>
        <w:widowControl/>
        <w:shd w:val="clear" w:color="auto" w:fill="FFFFFF"/>
        <w:spacing w:line="293" w:lineRule="atLeast"/>
        <w:jc w:val="left"/>
        <w:rPr>
          <w:rFonts w:ascii="微软雅黑" w:hAnsi="微软雅黑" w:eastAsia="微软雅黑" w:cs="宋体"/>
          <w:color w:val="222222"/>
          <w:kern w:val="0"/>
          <w:sz w:val="16"/>
          <w:szCs w:val="16"/>
        </w:rPr>
      </w:pPr>
      <w:r>
        <w:rPr>
          <w:rFonts w:hint="eastAsia" w:ascii="仿宋" w:hAnsi="仿宋" w:eastAsia="仿宋" w:cs="宋体"/>
          <w:color w:val="000000"/>
          <w:kern w:val="0"/>
          <w:sz w:val="30"/>
          <w:szCs w:val="30"/>
        </w:rPr>
        <w:t>一、主要职能</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一）贯彻执行国家财政、税收、宏观经济等各项方针政策，参与拟定全县各项宏观经济政策，拟定和执行全县财政、税收的发展战略、方针政策、中长期规划、改革方案及其他有关政策，提出运用财税政策实施宏观调控和综合平衡社会财力的建议，拟定和执行国家与企业的分配政策。</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（二）贯彻执行国家财政、财务、会计管理及行政事业单位国有资产管理的法律、法规、规章及各项方针政策，拟定全县财政、财务、会计管理及行政事业单位国有资产管理的地方性法规、规章草案和制度等。</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三）编制县本级年度预决算草案并组织执行。受县人民政府委托，向县人民代表大会报告全县和县级预算及其执行情况，向县人大常委会报告县本级决算。深化部门预算改革，组织制定经费开支标准、定额，负责审核批复部门（单位）的年度预决算。完善转移支付制度。</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四）负责政府非税收入管理，负责政府性基金管理及预算编制，按规定管理行政事业性收费。管理财政票据。拟定地方彩票管理制度及发行计划，管理彩票市场，按规定管理彩票资金。负责煤炭可持续发展基金的管理和监督检查。</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五）贯彻执行国库管理制度、国库集中收付制度，推行县级财政国库集中收付制度并进行监督管理，指导全县推行财政国库集中收付制度工作。负责审核和编制汇总全县财政总决算和部门决算。负责管理县本级财政银行账户和县级预算单位银行账户。制定地方国库现金管理工作。负责制定全县政府采购制度并监督管理，编制县级政府采购预算。</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（六）提出地方税收立法建议，负责组织起草地方税收法规、规章草案及实施办法和税收政策调整方案。研究提出地方税收政策的调整建议。</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七）拟定并组织实施全县行政事业单位国有资产及其收益管理的规章制度，建立行政事业单位国有资产配置、整合、调剂、共享、共用机制，负责管理县级行政事业单位国有资产及其收益，审核批复县级行政事业单位国有资产配置、处置、产权界定等事项。</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八）制定全县国有资本经营预算的制度和办法，负责审核和汇总编制国有资本经营预决算草案，收取县级企业国有资本收益，制定并组织实施企业财务制度，管理县属地方金融类企业国有资产，参与拟定企业国有资产管理相关制度，按规定管理资产评估工作。</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九）负责办理和监督县级财政的经济发展支出、县级政府性投资项目的财政拨款，参与拟定全县建设投资的有关政策，拟定基本建设财务制度，负责有关政策性补贴和专项储备资金财政管理工作。负责全县农业综合开发管理工作，指导和推动全县农村综合改革工作。</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（十）会同有关部门管理县级财政社会保障和就业及医疗卫生支出，会同有关部门管理县级财政社会保障资金（基金）的财务管理制度，编制县本级社会保障预决算草案。</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（十一）贯彻执行国家关于国内债务和政府外债管理的各项方针政策、规章制度和管理办法，负责地方政府内债会计核算工作。</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负责管理外国政府贷（赠）款和全县利用国际金融组织贷（赠）款工作，参与相关对外谈判工作。</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十二）负责管理全县的会计工作，监督和规范会计行为，拟定全县会计管理工作的地方性法规、规章草案、制度及补充规定，负责全县会计专业技术资格管理，指导和监督全县注册会计师、注册资产评估师、会计师事务所和资产评估机构的业务，指导财产评估业务，指导和管理社会审计。</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（十三）监督检查财税法规、政策的执行情况，反映财政收支管理中的重大问题。</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（十四）制定全县财政科学研究和财政教育规划，组织全县财政人才培训，负责财政信息和财政宣传工作。</w:t>
      </w:r>
    </w:p>
    <w:p>
      <w:pPr>
        <w:widowControl/>
        <w:shd w:val="clear" w:color="auto" w:fill="FFFFFF"/>
        <w:spacing w:line="293" w:lineRule="atLeast"/>
        <w:ind w:firstLine="645"/>
        <w:rPr>
          <w:rFonts w:ascii="微软雅黑" w:hAnsi="微软雅黑" w:eastAsia="微软雅黑" w:cs="宋体"/>
          <w:color w:val="222222"/>
          <w:kern w:val="0"/>
          <w:sz w:val="16"/>
          <w:szCs w:val="16"/>
        </w:rPr>
      </w:pPr>
      <w:r>
        <w:rPr>
          <w:rFonts w:hint="eastAsia" w:ascii="仿宋" w:hAnsi="仿宋" w:eastAsia="仿宋" w:cs="宋体"/>
          <w:color w:val="222222"/>
          <w:kern w:val="0"/>
          <w:sz w:val="32"/>
          <w:szCs w:val="32"/>
        </w:rPr>
        <w:t>（十五）承办县人民政府交办的其他事项。</w:t>
      </w:r>
    </w:p>
    <w:p>
      <w:pPr>
        <w:widowControl/>
        <w:shd w:val="clear" w:color="auto" w:fill="FFFFFF"/>
        <w:spacing w:line="293" w:lineRule="atLeast"/>
        <w:jc w:val="left"/>
        <w:rPr>
          <w:rFonts w:ascii="微软雅黑" w:hAnsi="微软雅黑" w:eastAsia="微软雅黑" w:cs="宋体"/>
          <w:color w:val="222222"/>
          <w:kern w:val="0"/>
          <w:sz w:val="16"/>
          <w:szCs w:val="16"/>
        </w:rPr>
      </w:pPr>
      <w:r>
        <w:rPr>
          <w:rFonts w:hint="eastAsia" w:ascii="仿宋" w:hAnsi="仿宋" w:eastAsia="仿宋" w:cs="宋体"/>
          <w:color w:val="000000"/>
          <w:kern w:val="0"/>
          <w:sz w:val="30"/>
          <w:szCs w:val="30"/>
        </w:rPr>
        <w:t>二、部门决算单位构成</w:t>
      </w:r>
    </w:p>
    <w:p>
      <w:pPr>
        <w:widowControl/>
        <w:shd w:val="clear" w:color="auto" w:fill="FFFFFF"/>
        <w:spacing w:after="150" w:line="450" w:lineRule="atLeast"/>
        <w:ind w:left="600" w:right="600"/>
        <w:rPr>
          <w:rFonts w:ascii="微软雅黑" w:hAnsi="微软雅黑" w:eastAsia="微软雅黑" w:cs="宋体"/>
          <w:color w:val="222222"/>
          <w:kern w:val="0"/>
          <w:sz w:val="16"/>
          <w:szCs w:val="16"/>
        </w:rPr>
      </w:pPr>
      <w:r>
        <w:rPr>
          <w:rFonts w:hint="eastAsia" w:ascii="仿宋" w:hAnsi="仿宋" w:eastAsia="仿宋" w:cs="宋体"/>
          <w:color w:val="000000"/>
          <w:kern w:val="0"/>
          <w:sz w:val="30"/>
          <w:szCs w:val="30"/>
        </w:rPr>
        <w:t>永和县财政局部门决算只包括一个本级单位。</w:t>
      </w:r>
    </w:p>
    <w:p>
      <w:pPr>
        <w:widowControl/>
        <w:shd w:val="clear" w:color="auto" w:fill="FFFFFF"/>
        <w:spacing w:after="150" w:line="450" w:lineRule="atLeast"/>
        <w:ind w:left="600" w:right="600"/>
        <w:jc w:val="center"/>
        <w:rPr>
          <w:rFonts w:ascii="微软雅黑" w:hAnsi="微软雅黑" w:eastAsia="微软雅黑" w:cs="宋体"/>
          <w:color w:val="222222"/>
          <w:kern w:val="0"/>
          <w:sz w:val="16"/>
          <w:szCs w:val="16"/>
        </w:rPr>
      </w:pPr>
      <w:r>
        <w:rPr>
          <w:rFonts w:hint="eastAsia" w:ascii="仿宋" w:hAnsi="仿宋" w:eastAsia="仿宋" w:cs="宋体"/>
          <w:b/>
          <w:bCs/>
          <w:color w:val="000000"/>
          <w:kern w:val="0"/>
          <w:sz w:val="30"/>
          <w:szCs w:val="30"/>
        </w:rPr>
        <w:t>第二部分</w:t>
      </w:r>
      <w:r>
        <w:rPr>
          <w:rFonts w:hint="eastAsia" w:ascii="宋体" w:hAnsi="宋体" w:eastAsia="宋体" w:cs="宋体"/>
          <w:b/>
          <w:bCs/>
          <w:color w:val="000000"/>
          <w:kern w:val="0"/>
          <w:sz w:val="30"/>
          <w:szCs w:val="30"/>
        </w:rPr>
        <w:t>  </w:t>
      </w:r>
      <w:r>
        <w:rPr>
          <w:rFonts w:hint="eastAsia" w:ascii="宋体" w:hAnsi="宋体" w:eastAsia="宋体" w:cs="宋体"/>
          <w:b/>
          <w:bCs/>
          <w:color w:val="000000"/>
          <w:kern w:val="0"/>
          <w:sz w:val="30"/>
        </w:rPr>
        <w:t> </w:t>
      </w:r>
      <w:r>
        <w:rPr>
          <w:rFonts w:hint="eastAsia" w:ascii="仿宋" w:hAnsi="仿宋" w:eastAsia="仿宋" w:cs="宋体"/>
          <w:b/>
          <w:bCs/>
          <w:color w:val="000000"/>
          <w:kern w:val="0"/>
          <w:sz w:val="30"/>
          <w:szCs w:val="30"/>
        </w:rPr>
        <w:t>2016年度部门决算报表</w:t>
      </w:r>
    </w:p>
    <w:p>
      <w:pPr>
        <w:widowControl/>
        <w:shd w:val="clear" w:color="auto" w:fill="FFFFFF"/>
        <w:spacing w:after="150" w:line="450" w:lineRule="atLeast"/>
        <w:ind w:left="600" w:right="600"/>
        <w:rPr>
          <w:rFonts w:ascii="微软雅黑" w:hAnsi="微软雅黑" w:eastAsia="微软雅黑" w:cs="宋体"/>
          <w:color w:val="222222"/>
          <w:kern w:val="0"/>
          <w:sz w:val="16"/>
          <w:szCs w:val="16"/>
        </w:rPr>
      </w:pPr>
      <w:r>
        <w:rPr>
          <w:rFonts w:hint="eastAsia" w:ascii="仿宋" w:hAnsi="仿宋" w:eastAsia="仿宋" w:cs="宋体"/>
          <w:color w:val="000000"/>
          <w:kern w:val="0"/>
          <w:sz w:val="30"/>
          <w:szCs w:val="30"/>
        </w:rPr>
        <w:t>本部门内容见附表</w:t>
      </w:r>
    </w:p>
    <w:p>
      <w:pPr>
        <w:widowControl/>
        <w:shd w:val="clear" w:color="auto" w:fill="FFFFFF"/>
        <w:spacing w:after="150" w:line="450" w:lineRule="atLeast"/>
        <w:ind w:left="600" w:right="600"/>
        <w:jc w:val="center"/>
        <w:rPr>
          <w:rFonts w:ascii="微软雅黑" w:hAnsi="微软雅黑" w:eastAsia="微软雅黑" w:cs="宋体"/>
          <w:color w:val="222222"/>
          <w:kern w:val="0"/>
          <w:sz w:val="16"/>
          <w:szCs w:val="16"/>
        </w:rPr>
      </w:pPr>
      <w:r>
        <w:rPr>
          <w:rFonts w:hint="eastAsia" w:ascii="仿宋" w:hAnsi="仿宋" w:eastAsia="仿宋" w:cs="宋体"/>
          <w:b/>
          <w:bCs/>
          <w:color w:val="000000"/>
          <w:kern w:val="0"/>
          <w:sz w:val="30"/>
          <w:szCs w:val="30"/>
        </w:rPr>
        <w:t>第三部分</w:t>
      </w:r>
      <w:r>
        <w:rPr>
          <w:rFonts w:hint="eastAsia" w:ascii="宋体" w:hAnsi="宋体" w:eastAsia="宋体" w:cs="宋体"/>
          <w:b/>
          <w:bCs/>
          <w:color w:val="000000"/>
          <w:kern w:val="0"/>
          <w:sz w:val="30"/>
          <w:szCs w:val="30"/>
        </w:rPr>
        <w:t>  </w:t>
      </w:r>
      <w:r>
        <w:rPr>
          <w:rFonts w:hint="eastAsia" w:ascii="宋体" w:hAnsi="宋体" w:eastAsia="宋体" w:cs="宋体"/>
          <w:b/>
          <w:bCs/>
          <w:color w:val="000000"/>
          <w:kern w:val="0"/>
          <w:sz w:val="30"/>
        </w:rPr>
        <w:t> </w:t>
      </w:r>
      <w:r>
        <w:rPr>
          <w:rFonts w:hint="eastAsia" w:ascii="仿宋" w:hAnsi="仿宋" w:eastAsia="仿宋" w:cs="宋体"/>
          <w:b/>
          <w:bCs/>
          <w:color w:val="000000"/>
          <w:kern w:val="0"/>
          <w:sz w:val="30"/>
          <w:szCs w:val="30"/>
        </w:rPr>
        <w:t>2016年度部门决算情况说明</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2016年,我局在县委、县政府的坚强领导下，按照"合理生财、科学聚财、节俭用财、高效理财、规范管财"的工作要求，紧紧围绕统筹城乡发展，狠抓征管促增收、调优支出保重点、提升绩效重监管，力抓党建强队伍，财政收支目标全面实现工作成效明显。现将今年的决算报表做如下说明:</w:t>
      </w:r>
    </w:p>
    <w:p>
      <w:pPr>
        <w:widowControl/>
        <w:shd w:val="clear" w:color="auto" w:fill="FFFFFF"/>
        <w:spacing w:line="326" w:lineRule="atLeast"/>
        <w:rPr>
          <w:rFonts w:ascii="微软雅黑" w:hAnsi="微软雅黑" w:eastAsia="微软雅黑" w:cs="宋体"/>
          <w:color w:val="222222"/>
          <w:kern w:val="0"/>
          <w:sz w:val="16"/>
          <w:szCs w:val="16"/>
        </w:rPr>
      </w:pPr>
      <w:r>
        <w:rPr>
          <w:rFonts w:hint="eastAsia" w:ascii="宋体" w:hAnsi="宋体" w:eastAsia="宋体" w:cs="宋体"/>
          <w:color w:val="222222"/>
          <w:kern w:val="0"/>
          <w:sz w:val="30"/>
          <w:szCs w:val="30"/>
        </w:rPr>
        <w:t>  </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一、机构编制及人员情况</w:t>
      </w:r>
    </w:p>
    <w:p>
      <w:pPr>
        <w:widowControl/>
        <w:shd w:val="clear" w:color="auto" w:fill="FFFFFF"/>
        <w:spacing w:line="326" w:lineRule="atLeast"/>
        <w:rPr>
          <w:rFonts w:ascii="微软雅黑" w:hAnsi="微软雅黑" w:eastAsia="微软雅黑" w:cs="宋体"/>
          <w:color w:val="222222"/>
          <w:kern w:val="0"/>
          <w:sz w:val="16"/>
          <w:szCs w:val="16"/>
        </w:rPr>
      </w:pPr>
      <w:r>
        <w:rPr>
          <w:rFonts w:hint="eastAsia" w:ascii="宋体" w:hAnsi="宋体" w:eastAsia="宋体" w:cs="宋体"/>
          <w:color w:val="222222"/>
          <w:kern w:val="0"/>
          <w:sz w:val="30"/>
          <w:szCs w:val="30"/>
        </w:rPr>
        <w:t>   </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（一）机构情况及增减变动原因</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全局共有独立编制机构</w:t>
      </w:r>
      <w:r>
        <w:rPr>
          <w:rFonts w:hint="eastAsia" w:ascii="宋体" w:hAnsi="宋体" w:eastAsia="宋体" w:cs="宋体"/>
          <w:color w:val="222222"/>
          <w:kern w:val="0"/>
          <w:sz w:val="30"/>
          <w:szCs w:val="30"/>
        </w:rPr>
        <w:t> </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1</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个。事业机构</w:t>
      </w:r>
      <w:r>
        <w:rPr>
          <w:rFonts w:hint="eastAsia" w:ascii="宋体" w:hAnsi="宋体" w:eastAsia="宋体" w:cs="宋体"/>
          <w:color w:val="222222"/>
          <w:kern w:val="0"/>
          <w:sz w:val="30"/>
          <w:szCs w:val="30"/>
        </w:rPr>
        <w:t> </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1个。独立核算单位</w:t>
      </w:r>
      <w:r>
        <w:rPr>
          <w:rFonts w:hint="eastAsia" w:ascii="宋体" w:hAnsi="宋体" w:eastAsia="宋体" w:cs="宋体"/>
          <w:color w:val="222222"/>
          <w:kern w:val="0"/>
          <w:sz w:val="30"/>
          <w:szCs w:val="30"/>
        </w:rPr>
        <w:t> </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1个，本年度参加决算单位1</w:t>
      </w:r>
      <w:r>
        <w:rPr>
          <w:rFonts w:hint="eastAsia" w:ascii="宋体" w:hAnsi="宋体" w:eastAsia="宋体" w:cs="宋体"/>
          <w:color w:val="222222"/>
          <w:kern w:val="0"/>
          <w:sz w:val="30"/>
          <w:szCs w:val="30"/>
        </w:rPr>
        <w:t> </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个，较上年度没有增减。</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（二）人员情况及增减变动原因</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1、编制：全局现有编制26人。其中：行政编制15人，事业编制</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11人。</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2、人员：全局现有在职人员9人。其中：行政在职人员13人，事业在职人员19</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人，比上年度减少，因本年度有退休、调出人员。</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3、财政供养人员32人。</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二、部门预算执行情况明</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（一）收入支出结构说明</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1、2016年收入决算总额为5540966.32元，其中：财政拨款收入情况是：行政运行2708367.32元，预算改革业务154866元，财政国库业务40000元，财政委托业务支出1900000元，事业运行20000元，其他财政事务支出684862元，其他支出32871元。</w:t>
      </w:r>
      <w:r>
        <w:rPr>
          <w:rFonts w:hint="eastAsia" w:ascii="仿宋" w:hAnsi="仿宋" w:eastAsia="仿宋" w:cs="宋体"/>
          <w:color w:val="222222"/>
          <w:kern w:val="0"/>
          <w:sz w:val="30"/>
          <w:szCs w:val="30"/>
          <w:lang w:eastAsia="zh-CN"/>
        </w:rPr>
        <w:t>收入较上年增加</w:t>
      </w:r>
      <w:r>
        <w:rPr>
          <w:rFonts w:hint="eastAsia" w:ascii="仿宋" w:hAnsi="仿宋" w:eastAsia="仿宋" w:cs="宋体"/>
          <w:color w:val="222222"/>
          <w:kern w:val="0"/>
          <w:sz w:val="30"/>
          <w:szCs w:val="30"/>
          <w:lang w:val="en-US" w:eastAsia="zh-CN"/>
        </w:rPr>
        <w:t>3130966.32元。</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2、2016支出决算总额为5483341.15元，其中：财政拨款收入情况是：行政运行2708367.32元，预算改革业务154866元，财政国库业务40000元，财政委托业务支出1900000元，事业运行6180元，其他财政事务支出684862元，其他支出32871元。</w:t>
      </w:r>
      <w:r>
        <w:rPr>
          <w:rFonts w:hint="eastAsia" w:ascii="仿宋" w:hAnsi="仿宋" w:eastAsia="仿宋" w:cs="宋体"/>
          <w:color w:val="222222"/>
          <w:kern w:val="0"/>
          <w:sz w:val="30"/>
          <w:szCs w:val="30"/>
          <w:lang w:eastAsia="zh-CN"/>
        </w:rPr>
        <w:t>支出较上年减少</w:t>
      </w:r>
      <w:r>
        <w:rPr>
          <w:rFonts w:hint="eastAsia" w:ascii="仿宋" w:hAnsi="仿宋" w:eastAsia="仿宋" w:cs="宋体"/>
          <w:color w:val="222222"/>
          <w:kern w:val="0"/>
          <w:sz w:val="30"/>
          <w:szCs w:val="30"/>
          <w:lang w:val="en-US" w:eastAsia="zh-CN"/>
        </w:rPr>
        <w:t>1315457.85元。</w:t>
      </w:r>
      <w:bookmarkStart w:id="0" w:name="_GoBack"/>
      <w:bookmarkEnd w:id="0"/>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3、本年度我单位结余57625.17元。</w:t>
      </w:r>
    </w:p>
    <w:p>
      <w:pPr>
        <w:widowControl/>
        <w:shd w:val="clear" w:color="auto" w:fill="FFFFFF"/>
        <w:spacing w:line="326" w:lineRule="atLeast"/>
        <w:ind w:firstLine="600"/>
        <w:rPr>
          <w:rFonts w:ascii="微软雅黑" w:hAnsi="微软雅黑" w:eastAsia="微软雅黑" w:cs="宋体"/>
          <w:color w:val="222222"/>
          <w:kern w:val="0"/>
          <w:sz w:val="16"/>
          <w:szCs w:val="16"/>
        </w:rPr>
      </w:pPr>
      <w:r>
        <w:rPr>
          <w:rFonts w:hint="eastAsia" w:ascii="仿宋" w:hAnsi="仿宋" w:eastAsia="仿宋" w:cs="宋体"/>
          <w:color w:val="222222"/>
          <w:kern w:val="0"/>
          <w:sz w:val="30"/>
          <w:szCs w:val="30"/>
        </w:rPr>
        <w:t>（二）三公经费说明</w:t>
      </w:r>
    </w:p>
    <w:p>
      <w:pPr>
        <w:widowControl/>
        <w:shd w:val="clear" w:color="auto" w:fill="FFFFFF"/>
        <w:spacing w:line="326" w:lineRule="atLeast"/>
        <w:rPr>
          <w:rFonts w:ascii="微软雅黑" w:hAnsi="微软雅黑" w:eastAsia="微软雅黑" w:cs="宋体"/>
          <w:color w:val="222222"/>
          <w:kern w:val="0"/>
          <w:sz w:val="16"/>
          <w:szCs w:val="16"/>
        </w:rPr>
      </w:pPr>
      <w:r>
        <w:rPr>
          <w:rFonts w:hint="eastAsia" w:ascii="宋体" w:hAnsi="宋体" w:eastAsia="宋体" w:cs="宋体"/>
          <w:color w:val="222222"/>
          <w:kern w:val="0"/>
          <w:sz w:val="30"/>
          <w:szCs w:val="30"/>
        </w:rPr>
        <w:t>    </w:t>
      </w:r>
      <w:r>
        <w:rPr>
          <w:rFonts w:hint="eastAsia" w:ascii="宋体" w:hAnsi="宋体" w:eastAsia="宋体" w:cs="宋体"/>
          <w:color w:val="222222"/>
          <w:kern w:val="0"/>
          <w:sz w:val="30"/>
        </w:rPr>
        <w:t> </w:t>
      </w:r>
      <w:r>
        <w:rPr>
          <w:rFonts w:hint="eastAsia" w:ascii="仿宋" w:hAnsi="仿宋" w:eastAsia="仿宋" w:cs="宋体"/>
          <w:color w:val="222222"/>
          <w:kern w:val="0"/>
          <w:sz w:val="30"/>
          <w:szCs w:val="30"/>
        </w:rPr>
        <w:t>我单位无因共出国（境）费用支出，无公务接待费用支出，公务用车运行维护费为1025元。</w:t>
      </w:r>
      <w:r>
        <w:rPr>
          <w:rFonts w:hint="eastAsia" w:ascii="宋体" w:hAnsi="宋体" w:cs="宋体"/>
          <w:kern w:val="0"/>
          <w:sz w:val="32"/>
        </w:rPr>
        <w:t>为了响应国家政策，对车辆、公务接待进行严格控制，支出与上年相比相对减少</w:t>
      </w:r>
      <w:r>
        <w:rPr>
          <w:rFonts w:hint="eastAsia" w:ascii="仿宋" w:hAnsi="仿宋" w:eastAsia="仿宋" w:cs="宋体"/>
          <w:color w:val="222222"/>
          <w:kern w:val="0"/>
          <w:sz w:val="32"/>
          <w:szCs w:val="32"/>
        </w:rPr>
        <w:t>。</w:t>
      </w:r>
    </w:p>
    <w:p>
      <w:pPr>
        <w:widowControl/>
        <w:shd w:val="clear" w:color="auto" w:fill="FFFFFF"/>
        <w:spacing w:line="326" w:lineRule="atLeast"/>
        <w:rPr>
          <w:rFonts w:ascii="微软雅黑" w:hAnsi="微软雅黑" w:eastAsia="微软雅黑" w:cs="宋体"/>
          <w:color w:val="222222"/>
          <w:kern w:val="0"/>
          <w:sz w:val="16"/>
          <w:szCs w:val="16"/>
        </w:rPr>
      </w:pPr>
      <w:r>
        <w:rPr>
          <w:rFonts w:hint="eastAsia" w:ascii="宋体" w:hAnsi="宋体" w:eastAsia="宋体" w:cs="宋体"/>
          <w:color w:val="222222"/>
          <w:kern w:val="0"/>
          <w:sz w:val="30"/>
          <w:szCs w:val="30"/>
        </w:rPr>
        <w:t> </w:t>
      </w:r>
    </w:p>
    <w:p>
      <w:pPr>
        <w:widowControl/>
        <w:numPr>
          <w:ilvl w:val="0"/>
          <w:numId w:val="1"/>
        </w:numPr>
        <w:spacing w:line="640" w:lineRule="exact"/>
        <w:jc w:val="center"/>
        <w:rPr>
          <w:rFonts w:hint="eastAsia" w:ascii="黑体" w:hAnsi="黑体" w:eastAsia="黑体" w:cs="宋体"/>
          <w:bCs/>
          <w:kern w:val="0"/>
          <w:sz w:val="36"/>
          <w:szCs w:val="36"/>
          <w:lang w:eastAsia="zh-CN"/>
        </w:rPr>
      </w:pPr>
      <w:r>
        <w:rPr>
          <w:rFonts w:hint="eastAsia" w:ascii="黑体" w:hAnsi="宋体" w:eastAsia="黑体" w:cs="宋体"/>
          <w:bCs/>
          <w:kern w:val="0"/>
          <w:sz w:val="36"/>
          <w:szCs w:val="36"/>
        </w:rPr>
        <w:t>分</w:t>
      </w:r>
      <w:r>
        <w:rPr>
          <w:rFonts w:hint="eastAsia" w:ascii="黑体" w:hAnsi="黑体" w:eastAsia="黑体" w:cs="宋体"/>
          <w:bCs/>
          <w:kern w:val="0"/>
          <w:sz w:val="36"/>
          <w:szCs w:val="36"/>
        </w:rPr>
        <w:t xml:space="preserve">   </w:t>
      </w:r>
      <w:r>
        <w:rPr>
          <w:rFonts w:hint="eastAsia" w:ascii="黑体" w:hAnsi="黑体" w:eastAsia="黑体" w:cs="宋体"/>
          <w:bCs/>
          <w:kern w:val="0"/>
          <w:sz w:val="36"/>
          <w:szCs w:val="36"/>
          <w:lang w:eastAsia="zh-CN"/>
        </w:rPr>
        <w:t>政府采购</w:t>
      </w:r>
    </w:p>
    <w:p>
      <w:pPr>
        <w:widowControl/>
        <w:numPr>
          <w:ilvl w:val="0"/>
          <w:numId w:val="0"/>
        </w:numPr>
        <w:spacing w:line="640" w:lineRule="exact"/>
        <w:jc w:val="both"/>
        <w:rPr>
          <w:rFonts w:hint="eastAsia" w:ascii="黑体" w:hAnsi="黑体" w:eastAsia="黑体" w:cs="宋体"/>
          <w:bCs/>
          <w:kern w:val="0"/>
          <w:sz w:val="36"/>
          <w:szCs w:val="36"/>
          <w:lang w:eastAsia="zh-CN"/>
        </w:rPr>
      </w:pP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Pr>
        <w:widowControl/>
        <w:spacing w:line="640" w:lineRule="exact"/>
        <w:jc w:val="center"/>
        <w:rPr>
          <w:rFonts w:hint="eastAsia" w:ascii="黑体" w:hAnsi="宋体" w:eastAsia="黑体" w:cs="宋体"/>
          <w:bCs/>
          <w:kern w:val="0"/>
          <w:sz w:val="36"/>
          <w:szCs w:val="36"/>
        </w:rPr>
      </w:pPr>
      <w:r>
        <w:rPr>
          <w:rFonts w:hint="eastAsia" w:ascii="黑体" w:hAnsi="宋体" w:eastAsia="黑体" w:cs="宋体"/>
          <w:bCs/>
          <w:kern w:val="0"/>
          <w:sz w:val="36"/>
          <w:szCs w:val="36"/>
        </w:rPr>
        <w:t>第</w:t>
      </w:r>
      <w:r>
        <w:rPr>
          <w:rFonts w:hint="eastAsia" w:ascii="黑体" w:hAnsi="宋体" w:eastAsia="黑体" w:cs="宋体"/>
          <w:bCs/>
          <w:kern w:val="0"/>
          <w:sz w:val="36"/>
          <w:szCs w:val="36"/>
          <w:lang w:eastAsia="zh-CN"/>
        </w:rPr>
        <w:t>五</w:t>
      </w:r>
      <w:r>
        <w:rPr>
          <w:rFonts w:hint="eastAsia" w:ascii="黑体" w:hAnsi="宋体" w:eastAsia="黑体" w:cs="宋体"/>
          <w:bCs/>
          <w:kern w:val="0"/>
          <w:sz w:val="36"/>
          <w:szCs w:val="36"/>
        </w:rPr>
        <w:t>部分</w:t>
      </w:r>
      <w:r>
        <w:rPr>
          <w:rFonts w:hint="eastAsia" w:ascii="黑体" w:hAnsi="黑体" w:eastAsia="黑体" w:cs="宋体"/>
          <w:bCs/>
          <w:kern w:val="0"/>
          <w:sz w:val="36"/>
          <w:szCs w:val="36"/>
        </w:rPr>
        <w:t xml:space="preserve">   </w:t>
      </w:r>
      <w:r>
        <w:rPr>
          <w:rFonts w:hint="eastAsia" w:ascii="黑体" w:hAnsi="宋体" w:eastAsia="黑体" w:cs="宋体"/>
          <w:bCs/>
          <w:kern w:val="0"/>
          <w:sz w:val="36"/>
          <w:szCs w:val="36"/>
        </w:rPr>
        <w:t>名词解释</w:t>
      </w: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
      <w:pPr>
        <w:ind w:right="450"/>
        <w:jc w:val="right"/>
        <w:rPr>
          <w:rFonts w:hint="eastAsia" w:ascii="仿宋" w:hAnsi="仿宋" w:eastAsia="仿宋" w:cs="宋体"/>
          <w:color w:val="222222"/>
          <w:kern w:val="0"/>
          <w:sz w:val="30"/>
          <w:szCs w:val="30"/>
        </w:rPr>
      </w:pPr>
      <w:r>
        <w:rPr>
          <w:rFonts w:hint="eastAsia" w:ascii="仿宋" w:hAnsi="仿宋" w:eastAsia="仿宋" w:cs="宋体"/>
          <w:color w:val="222222"/>
          <w:kern w:val="0"/>
          <w:sz w:val="30"/>
          <w:szCs w:val="30"/>
        </w:rPr>
        <w:t>永和县财政局</w:t>
      </w:r>
    </w:p>
    <w:p>
      <w:pPr>
        <w:ind w:right="600"/>
        <w:jc w:val="right"/>
        <w:rPr>
          <w:rFonts w:ascii="仿宋" w:hAnsi="仿宋" w:eastAsia="仿宋" w:cs="宋体"/>
          <w:color w:val="222222"/>
          <w:kern w:val="0"/>
          <w:sz w:val="30"/>
          <w:szCs w:val="30"/>
        </w:rPr>
      </w:pPr>
      <w:r>
        <w:rPr>
          <w:rFonts w:hint="eastAsia" w:ascii="仿宋" w:hAnsi="仿宋" w:eastAsia="仿宋" w:cs="宋体"/>
          <w:color w:val="222222"/>
          <w:kern w:val="0"/>
          <w:sz w:val="30"/>
          <w:szCs w:val="30"/>
        </w:rPr>
        <w:t>2017.9.13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D2D9"/>
    <w:multiLevelType w:val="singleLevel"/>
    <w:tmpl w:val="59FFD2D9"/>
    <w:lvl w:ilvl="0" w:tentative="0">
      <w:start w:val="4"/>
      <w:numFmt w:val="chineseCounting"/>
      <w:suff w:val="nothing"/>
      <w:lvlText w:val="第%1部"/>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028E9"/>
    <w:rsid w:val="002028E9"/>
    <w:rsid w:val="00397405"/>
    <w:rsid w:val="008030AA"/>
    <w:rsid w:val="008A73C8"/>
    <w:rsid w:val="35A6434A"/>
    <w:rsid w:val="5B314662"/>
    <w:rsid w:val="6043243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5">
    <w:name w:val="apple-converted-space"/>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343</Words>
  <Characters>1958</Characters>
  <Lines>16</Lines>
  <Paragraphs>4</Paragraphs>
  <ScaleCrop>false</ScaleCrop>
  <LinksUpToDate>false</LinksUpToDate>
  <CharactersWithSpaces>2297</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2017-09-13T01:42:00Z</dcterms:created>
  <dc:creator>dreamsummit</dc:creator>
  <cp:lastModifiedBy>hp</cp:lastModifiedBy>
  <dcterms:modified xsi:type="dcterms:W3CDTF">2017-11-06T11:24:14Z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