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uto"/>
        <w:jc w:val="center"/>
        <w:rPr>
          <w:rFonts w:ascii="黑体" w:hAnsi="宋体" w:eastAsia="黑体" w:cs="黑体"/>
          <w:color w:val="222222"/>
          <w:sz w:val="36"/>
          <w:szCs w:val="36"/>
        </w:rPr>
      </w:pPr>
      <w:r>
        <w:rPr>
          <w:rFonts w:ascii="黑体" w:hAnsi="宋体" w:eastAsia="黑体" w:cs="黑体"/>
          <w:color w:val="222222"/>
          <w:sz w:val="36"/>
          <w:szCs w:val="36"/>
        </w:rPr>
        <w:t>永和县县委党校</w:t>
      </w:r>
    </w:p>
    <w:p>
      <w:pPr>
        <w:widowControl/>
        <w:jc w:val="left"/>
      </w:pPr>
    </w:p>
    <w:p>
      <w:pPr>
        <w:widowControl/>
        <w:spacing w:line="432" w:lineRule="auto"/>
        <w:jc w:val="center"/>
        <w:rPr>
          <w:rFonts w:ascii="黑体" w:hAnsi="宋体" w:eastAsia="黑体" w:cs="黑体"/>
          <w:color w:val="222222"/>
          <w:sz w:val="36"/>
          <w:szCs w:val="36"/>
        </w:rPr>
      </w:pPr>
      <w:r>
        <w:rPr>
          <w:rFonts w:hint="eastAsia" w:ascii="黑体" w:hAnsi="宋体" w:eastAsia="黑体" w:cs="黑体"/>
          <w:color w:val="222222"/>
          <w:sz w:val="36"/>
          <w:szCs w:val="36"/>
        </w:rPr>
        <w:t>关于2016年度部门决算的说明</w:t>
      </w:r>
    </w:p>
    <w:p>
      <w:pPr>
        <w:widowControl/>
        <w:spacing w:line="432" w:lineRule="auto"/>
        <w:rPr>
          <w:rFonts w:ascii="宋体" w:hAnsi="宋体" w:eastAsia="宋体" w:cs="宋体"/>
          <w:color w:val="222222"/>
          <w:sz w:val="32"/>
          <w:szCs w:val="32"/>
        </w:rPr>
      </w:pPr>
    </w:p>
    <w:p>
      <w:pPr>
        <w:widowControl/>
        <w:spacing w:line="432" w:lineRule="auto"/>
        <w:jc w:val="center"/>
        <w:rPr>
          <w:rFonts w:ascii="黑体" w:hAnsi="宋体" w:eastAsia="黑体" w:cs="黑体"/>
          <w:color w:val="222222"/>
          <w:sz w:val="32"/>
          <w:szCs w:val="32"/>
        </w:rPr>
      </w:pPr>
      <w:r>
        <w:rPr>
          <w:rFonts w:hint="eastAsia" w:ascii="黑体" w:hAnsi="宋体" w:eastAsia="黑体" w:cs="黑体"/>
          <w:color w:val="222222"/>
          <w:sz w:val="32"/>
          <w:szCs w:val="32"/>
        </w:rPr>
        <w:t>第一部分 概况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ascii="Arial" w:hAnsi="Arial" w:eastAsia="宋体" w:cs="Arial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宋体" w:eastAsia="黑体" w:cs="黑体"/>
          <w:color w:val="222222"/>
          <w:sz w:val="32"/>
          <w:szCs w:val="32"/>
          <w:shd w:val="clear" w:color="auto" w:fill="FFFFFF"/>
        </w:rPr>
        <w:t>（一）主要职能</w:t>
      </w:r>
    </w:p>
    <w:p>
      <w:pPr>
        <w:widowControl/>
        <w:spacing w:beforeAutospacing="1" w:after="360" w:line="432" w:lineRule="auto"/>
        <w:ind w:firstLine="482"/>
        <w:jc w:val="left"/>
        <w:rPr>
          <w:rFonts w:ascii="楷体_GB2312" w:hAnsi="Arial" w:eastAsia="楷体_GB2312" w:cs="Arial"/>
          <w:color w:val="000000"/>
          <w:kern w:val="0"/>
          <w:sz w:val="32"/>
          <w:szCs w:val="32"/>
        </w:rPr>
      </w:pPr>
      <w:r>
        <w:rPr>
          <w:rFonts w:ascii="楷体_GB2312" w:hAnsi="Arial" w:eastAsia="楷体_GB2312" w:cs="Arial"/>
          <w:color w:val="000000"/>
          <w:kern w:val="0"/>
          <w:sz w:val="32"/>
          <w:szCs w:val="32"/>
        </w:rPr>
        <w:t>永和县县委党校是县人民政府主管全县</w:t>
      </w:r>
      <w:r>
        <w:rPr>
          <w:rFonts w:ascii="楷体_GB2312" w:hAnsi="Arial" w:eastAsia="楷体_GB2312" w:cs="Arial"/>
          <w:color w:val="333333"/>
          <w:kern w:val="0"/>
          <w:sz w:val="32"/>
          <w:szCs w:val="32"/>
        </w:rPr>
        <w:t>承担全县</w:t>
      </w:r>
      <w:r>
        <w:fldChar w:fldCharType="begin"/>
      </w:r>
      <w:r>
        <w:instrText xml:space="preserve"> HYPERLINK "http://www.so.com/s?q=%E5%9B%BD%E5%AE%B6%E5%85%AC%E5%8A%A1%E5%91%98&amp;ie=utf-8&amp;src=wenda_link" </w:instrText>
      </w:r>
      <w:r>
        <w:fldChar w:fldCharType="separate"/>
      </w:r>
      <w:r>
        <w:rPr>
          <w:rStyle w:val="5"/>
          <w:rFonts w:ascii="楷体_GB2312" w:hAnsi="Arial" w:eastAsia="楷体_GB2312" w:cs="Arial"/>
          <w:color w:val="87B5F3"/>
          <w:kern w:val="0"/>
          <w:sz w:val="32"/>
          <w:szCs w:val="32"/>
        </w:rPr>
        <w:t>国家公务员</w:t>
      </w:r>
      <w:r>
        <w:rPr>
          <w:rStyle w:val="5"/>
          <w:rFonts w:ascii="楷体_GB2312" w:hAnsi="Arial" w:eastAsia="楷体_GB2312" w:cs="Arial"/>
          <w:color w:val="87B5F3"/>
          <w:kern w:val="0"/>
          <w:sz w:val="32"/>
          <w:szCs w:val="32"/>
        </w:rPr>
        <w:fldChar w:fldCharType="end"/>
      </w:r>
      <w:r>
        <w:rPr>
          <w:rFonts w:ascii="楷体_GB2312" w:hAnsi="Arial" w:eastAsia="楷体_GB2312" w:cs="Arial"/>
          <w:color w:val="333333"/>
          <w:kern w:val="0"/>
          <w:sz w:val="32"/>
          <w:szCs w:val="32"/>
        </w:rPr>
        <w:t>(机关工作人员)的培训、轮训任务的职能。培养党员干部、理论干部和培 训各级党政干部的职能部门。</w:t>
      </w:r>
      <w:r>
        <w:rPr>
          <w:rFonts w:ascii="楷体_GB2312" w:hAnsi="Arial" w:eastAsia="楷体_GB2312" w:cs="Arial"/>
          <w:color w:val="000000"/>
          <w:kern w:val="0"/>
          <w:sz w:val="32"/>
          <w:szCs w:val="32"/>
        </w:rPr>
        <w:t>内设办公室、综合股、人事法制股、信息中心等四股室，局机关行政编制 1个，编制 18 个，现在岗在编人员 18人，局机关主要职责是：</w:t>
      </w:r>
    </w:p>
    <w:p>
      <w:pPr>
        <w:widowControl/>
        <w:spacing w:beforeAutospacing="1" w:after="360" w:line="432" w:lineRule="auto"/>
        <w:ind w:firstLine="482"/>
        <w:jc w:val="left"/>
        <w:rPr>
          <w:rFonts w:ascii="楷体_GB2312" w:hAnsi="Arial" w:eastAsia="楷体_GB2312" w:cs="Arial"/>
          <w:color w:val="000000"/>
          <w:kern w:val="0"/>
          <w:sz w:val="32"/>
          <w:szCs w:val="32"/>
        </w:rPr>
      </w:pPr>
      <w:r>
        <w:rPr>
          <w:rFonts w:ascii="楷体_GB2312" w:hAnsi="Arial" w:eastAsia="楷体_GB2312" w:cs="Arial"/>
          <w:color w:val="000000"/>
          <w:kern w:val="0"/>
          <w:sz w:val="32"/>
          <w:szCs w:val="32"/>
        </w:rPr>
        <w:t>一、贯彻执行国家法律、法规和有关工作方针、政策</w:t>
      </w:r>
      <w:r>
        <w:rPr>
          <w:rFonts w:ascii="楷体_GB2312" w:hAnsi="Arial" w:eastAsia="楷体_GB2312" w:cs="Arial"/>
          <w:color w:val="333333"/>
          <w:kern w:val="0"/>
          <w:sz w:val="32"/>
          <w:szCs w:val="32"/>
        </w:rPr>
        <w:t>轮训区级部门和各镇、街道</w:t>
      </w:r>
      <w:r>
        <w:fldChar w:fldCharType="begin"/>
      </w:r>
      <w:r>
        <w:instrText xml:space="preserve"> HYPERLINK "http://www.so.com/s?q=%E5%85%9A%E6%94%BF%E9%A2%86%E5%AF%BC%E5%B9%B2%E9%83%A8&amp;ie=utf-8&amp;src=wenda_link" </w:instrText>
      </w:r>
      <w:r>
        <w:fldChar w:fldCharType="separate"/>
      </w:r>
      <w:r>
        <w:rPr>
          <w:rStyle w:val="5"/>
          <w:rFonts w:ascii="楷体_GB2312" w:hAnsi="Arial" w:eastAsia="楷体_GB2312" w:cs="Arial"/>
          <w:color w:val="87B5F3"/>
          <w:kern w:val="0"/>
          <w:sz w:val="32"/>
          <w:szCs w:val="32"/>
        </w:rPr>
        <w:t>党政领导干部</w:t>
      </w:r>
      <w:r>
        <w:rPr>
          <w:rStyle w:val="5"/>
          <w:rFonts w:ascii="楷体_GB2312" w:hAnsi="Arial" w:eastAsia="楷体_GB2312" w:cs="Arial"/>
          <w:color w:val="87B5F3"/>
          <w:kern w:val="0"/>
          <w:sz w:val="32"/>
          <w:szCs w:val="32"/>
        </w:rPr>
        <w:fldChar w:fldCharType="end"/>
      </w:r>
      <w:r>
        <w:rPr>
          <w:rFonts w:ascii="楷体_GB2312" w:hAnsi="Arial" w:eastAsia="楷体_GB2312" w:cs="Arial"/>
          <w:color w:val="333333"/>
          <w:kern w:val="0"/>
          <w:sz w:val="32"/>
          <w:szCs w:val="32"/>
        </w:rPr>
        <w:t xml:space="preserve">以及村级主要领导干部，培训区委确定的中青 年领导干部。 </w:t>
      </w:r>
    </w:p>
    <w:p>
      <w:pPr>
        <w:widowControl/>
        <w:shd w:val="clear" w:color="auto" w:fill="FFFFFF"/>
        <w:wordWrap w:val="0"/>
        <w:spacing w:line="360" w:lineRule="atLeast"/>
        <w:ind w:firstLine="320" w:firstLineChars="100"/>
        <w:jc w:val="left"/>
        <w:rPr>
          <w:rFonts w:ascii="楷体_GB2312" w:hAnsi="Arial" w:eastAsia="楷体_GB2312" w:cs="Arial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楷体_GB2312" w:hAnsi="Arial" w:eastAsia="楷体_GB2312" w:cs="Arial"/>
          <w:color w:val="333333"/>
          <w:kern w:val="0"/>
          <w:sz w:val="32"/>
          <w:szCs w:val="32"/>
          <w:shd w:val="clear" w:color="auto" w:fill="FFFFFF"/>
        </w:rPr>
        <w:t xml:space="preserve">二、承担全县国家公务员(机关工作人员)的培训、轮训任务。 协同有关部门培训意识形态部门和领导干部和理论骨干。 协同组织人事部门，对参训干部在校期间学习培训状况进行考核考察。 </w:t>
      </w:r>
    </w:p>
    <w:p>
      <w:pPr>
        <w:widowControl/>
        <w:shd w:val="clear" w:color="auto" w:fill="FFFFFF"/>
        <w:wordWrap w:val="0"/>
        <w:spacing w:line="360" w:lineRule="atLeast"/>
        <w:ind w:firstLine="160" w:firstLineChars="50"/>
        <w:jc w:val="left"/>
        <w:rPr>
          <w:rFonts w:ascii="楷体_GB2312" w:hAnsi="Arial" w:eastAsia="楷体_GB2312" w:cs="Arial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楷体_GB2312" w:hAnsi="Arial" w:eastAsia="楷体_GB2312" w:cs="Arial"/>
          <w:color w:val="333333"/>
          <w:kern w:val="0"/>
          <w:sz w:val="32"/>
          <w:szCs w:val="32"/>
          <w:shd w:val="clear" w:color="auto" w:fill="FFFFFF"/>
        </w:rPr>
        <w:t>三、围绕国际、国内出现的新情况、新问题，结合本区实际，进行社会调查，开展科学研究 。通过教学、科研等多种形式，宣传马克思列宁主义、</w:t>
      </w:r>
      <w:r>
        <w:fldChar w:fldCharType="begin"/>
      </w:r>
      <w:r>
        <w:instrText xml:space="preserve"> HYPERLINK "http://www.so.com/s?q=%E6%AF%9B%E6%B3%BD%E4%B8%9C%E6%80%9D%E6%83%B3&amp;ie=utf-8&amp;src=wenda_link" </w:instrText>
      </w:r>
      <w:r>
        <w:fldChar w:fldCharType="separate"/>
      </w:r>
      <w:r>
        <w:rPr>
          <w:rStyle w:val="5"/>
          <w:rFonts w:ascii="楷体_GB2312" w:hAnsi="Arial" w:eastAsia="楷体_GB2312" w:cs="Arial"/>
          <w:color w:val="87B5F3"/>
          <w:kern w:val="0"/>
          <w:sz w:val="32"/>
          <w:szCs w:val="32"/>
          <w:shd w:val="clear" w:color="auto" w:fill="FFFFFF"/>
        </w:rPr>
        <w:t>毛泽东思想</w:t>
      </w:r>
      <w:r>
        <w:rPr>
          <w:rStyle w:val="5"/>
          <w:rFonts w:ascii="楷体_GB2312" w:hAnsi="Arial" w:eastAsia="楷体_GB2312" w:cs="Arial"/>
          <w:color w:val="87B5F3"/>
          <w:kern w:val="0"/>
          <w:sz w:val="32"/>
          <w:szCs w:val="32"/>
          <w:shd w:val="clear" w:color="auto" w:fill="FFFFFF"/>
        </w:rPr>
        <w:fldChar w:fldCharType="end"/>
      </w:r>
      <w:r>
        <w:rPr>
          <w:rFonts w:ascii="楷体_GB2312" w:hAnsi="Arial" w:eastAsia="楷体_GB2312" w:cs="Arial"/>
          <w:color w:val="333333"/>
          <w:kern w:val="0"/>
          <w:sz w:val="32"/>
          <w:szCs w:val="32"/>
          <w:shd w:val="clear" w:color="auto" w:fill="FFFFFF"/>
        </w:rPr>
        <w:t>、邓小平理论、江总书 记三个代表”重要思想和党的路线、方针、政策。 四、承担全县在职党员干部、国家公务员的业余</w:t>
      </w:r>
      <w:r>
        <w:fldChar w:fldCharType="begin"/>
      </w:r>
      <w:r>
        <w:instrText xml:space="preserve"> HYPERLINK "http://www.so.com/s?q=%E5%87%BD%E6%8E%88&amp;ie=utf-8&amp;src=wenda_link" </w:instrText>
      </w:r>
      <w:r>
        <w:fldChar w:fldCharType="separate"/>
      </w:r>
      <w:r>
        <w:rPr>
          <w:rStyle w:val="5"/>
          <w:rFonts w:ascii="楷体_GB2312" w:hAnsi="Arial" w:eastAsia="楷体_GB2312" w:cs="Arial"/>
          <w:color w:val="87B5F3"/>
          <w:kern w:val="0"/>
          <w:sz w:val="32"/>
          <w:szCs w:val="32"/>
          <w:shd w:val="clear" w:color="auto" w:fill="FFFFFF"/>
        </w:rPr>
        <w:t>函授</w:t>
      </w:r>
      <w:r>
        <w:rPr>
          <w:rStyle w:val="5"/>
          <w:rFonts w:ascii="楷体_GB2312" w:hAnsi="Arial" w:eastAsia="楷体_GB2312" w:cs="Arial"/>
          <w:color w:val="87B5F3"/>
          <w:kern w:val="0"/>
          <w:sz w:val="32"/>
          <w:szCs w:val="32"/>
          <w:shd w:val="clear" w:color="auto" w:fill="FFFFFF"/>
        </w:rPr>
        <w:fldChar w:fldCharType="end"/>
      </w:r>
      <w:r>
        <w:rPr>
          <w:rFonts w:ascii="楷体_GB2312" w:hAnsi="Arial" w:eastAsia="楷体_GB2312" w:cs="Arial"/>
          <w:color w:val="333333"/>
          <w:kern w:val="0"/>
          <w:sz w:val="32"/>
          <w:szCs w:val="32"/>
          <w:shd w:val="clear" w:color="auto" w:fill="FFFFFF"/>
        </w:rPr>
        <w:t xml:space="preserve">学历教育工作。 </w:t>
      </w:r>
    </w:p>
    <w:p>
      <w:pPr>
        <w:widowControl/>
        <w:shd w:val="clear" w:color="auto" w:fill="FFFFFF"/>
        <w:wordWrap w:val="0"/>
        <w:spacing w:line="360" w:lineRule="atLeast"/>
        <w:ind w:firstLine="320" w:firstLineChars="100"/>
        <w:jc w:val="left"/>
        <w:rPr>
          <w:rFonts w:ascii="楷体_GB2312" w:hAnsi="Arial" w:eastAsia="楷体_GB2312" w:cs="Arial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楷体_GB2312" w:hAnsi="Arial" w:eastAsia="楷体_GB2312" w:cs="Arial"/>
          <w:color w:val="333333"/>
          <w:kern w:val="0"/>
          <w:sz w:val="32"/>
          <w:szCs w:val="32"/>
          <w:shd w:val="clear" w:color="auto" w:fill="FFFFFF"/>
        </w:rPr>
        <w:t>五、完成县委、县政府交办的其他工作任务。</w:t>
      </w:r>
    </w:p>
    <w:p>
      <w:pPr>
        <w:widowControl/>
        <w:spacing w:beforeAutospacing="1" w:after="360" w:line="432" w:lineRule="auto"/>
        <w:jc w:val="left"/>
        <w:rPr>
          <w:rFonts w:ascii="楷体_GB2312" w:hAnsi="宋体" w:eastAsia="楷体_GB2312" w:cs="黑体"/>
          <w:color w:val="000000"/>
          <w:kern w:val="0"/>
          <w:sz w:val="32"/>
          <w:szCs w:val="32"/>
        </w:rPr>
      </w:pPr>
      <w:r>
        <w:rPr>
          <w:rFonts w:ascii="楷体_GB2312" w:hAnsi="宋体" w:eastAsia="楷体_GB2312" w:cs="黑体"/>
          <w:color w:val="000000"/>
          <w:kern w:val="0"/>
          <w:sz w:val="32"/>
          <w:szCs w:val="32"/>
        </w:rPr>
        <w:t>（二）部门决算单位构成</w:t>
      </w:r>
    </w:p>
    <w:p>
      <w:pPr>
        <w:pStyle w:val="2"/>
        <w:widowControl/>
        <w:shd w:val="clear" w:color="auto" w:fill="FFFFFF"/>
        <w:spacing w:after="150" w:line="450" w:lineRule="atLeast"/>
        <w:rPr>
          <w:rFonts w:ascii="楷体_GB2312" w:hAnsi="仿宋_GB2312" w:eastAsia="楷体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楷体_GB2312" w:hAnsi="仿宋_GB2312" w:eastAsia="楷体_GB2312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  <w:shd w:val="clear" w:color="auto" w:fill="FFFFFF"/>
        </w:rPr>
        <w:t>6</w:t>
      </w:r>
      <w:r>
        <w:rPr>
          <w:rFonts w:ascii="楷体_GB2312" w:hAnsi="仿宋_GB2312" w:eastAsia="楷体_GB2312" w:cs="仿宋_GB2312"/>
          <w:color w:val="000000"/>
          <w:sz w:val="32"/>
          <w:szCs w:val="32"/>
          <w:shd w:val="clear" w:color="auto" w:fill="FFFFFF"/>
        </w:rPr>
        <w:t>年部门决算编报范围为县委党校机关，包括4个职能科室，：</w:t>
      </w:r>
      <w:r>
        <w:rPr>
          <w:rFonts w:ascii="楷体_GB2312" w:hAnsi="Arial" w:eastAsia="楷体_GB2312" w:cs="Arial"/>
          <w:color w:val="000000"/>
          <w:sz w:val="32"/>
          <w:szCs w:val="32"/>
          <w:shd w:val="clear" w:color="auto" w:fill="FFFFFF"/>
        </w:rPr>
        <w:t>办公室、综合股、人事法制股、信息中心等四股室</w:t>
      </w:r>
      <w:r>
        <w:rPr>
          <w:rFonts w:ascii="楷体_GB2312" w:hAnsi="仿宋_GB2312" w:eastAsia="楷体_GB2312" w:cs="仿宋_GB2312"/>
          <w:color w:val="000000"/>
          <w:sz w:val="32"/>
          <w:szCs w:val="32"/>
          <w:shd w:val="clear" w:color="auto" w:fill="FFFFFF"/>
        </w:rPr>
        <w:t>。</w:t>
      </w:r>
    </w:p>
    <w:p>
      <w:pPr>
        <w:widowControl/>
        <w:spacing w:line="432" w:lineRule="auto"/>
        <w:jc w:val="center"/>
        <w:rPr>
          <w:rFonts w:ascii="楷体_GB2312" w:hAnsi="宋体" w:eastAsia="楷体_GB2312" w:cs="黑体"/>
          <w:color w:val="222222"/>
          <w:sz w:val="32"/>
          <w:szCs w:val="32"/>
        </w:rPr>
      </w:pPr>
      <w:r>
        <w:rPr>
          <w:rFonts w:ascii="楷体_GB2312" w:hAnsi="宋体" w:eastAsia="楷体_GB2312" w:cs="黑体"/>
          <w:color w:val="222222"/>
          <w:sz w:val="32"/>
          <w:szCs w:val="32"/>
        </w:rPr>
        <w:t>第二部分 201</w:t>
      </w:r>
      <w:r>
        <w:rPr>
          <w:rFonts w:hint="eastAsia" w:ascii="楷体_GB2312" w:hAnsi="宋体" w:eastAsia="楷体_GB2312" w:cs="黑体"/>
          <w:color w:val="222222"/>
          <w:sz w:val="32"/>
          <w:szCs w:val="32"/>
        </w:rPr>
        <w:t>6</w:t>
      </w:r>
      <w:r>
        <w:rPr>
          <w:rFonts w:ascii="楷体_GB2312" w:hAnsi="宋体" w:eastAsia="楷体_GB2312" w:cs="黑体"/>
          <w:color w:val="222222"/>
          <w:sz w:val="32"/>
          <w:szCs w:val="32"/>
        </w:rPr>
        <w:t>年度部门决算报表</w:t>
      </w:r>
    </w:p>
    <w:p>
      <w:pPr>
        <w:widowControl/>
        <w:spacing w:line="432" w:lineRule="auto"/>
        <w:rPr>
          <w:rFonts w:ascii="楷体_GB2312" w:hAnsi="宋体" w:eastAsia="楷体_GB2312" w:cs="黑体"/>
          <w:color w:val="222222"/>
          <w:sz w:val="32"/>
          <w:szCs w:val="32"/>
        </w:rPr>
      </w:pPr>
      <w:r>
        <w:rPr>
          <w:rFonts w:ascii="楷体_GB2312" w:hAnsi="宋体" w:eastAsia="楷体_GB2312" w:cs="黑体"/>
          <w:color w:val="222222"/>
          <w:sz w:val="32"/>
          <w:szCs w:val="32"/>
        </w:rPr>
        <w:t>此部分内容见附表</w:t>
      </w:r>
    </w:p>
    <w:p>
      <w:pPr>
        <w:widowControl/>
        <w:spacing w:line="432" w:lineRule="auto"/>
        <w:ind w:firstLine="640" w:firstLineChars="200"/>
        <w:jc w:val="center"/>
        <w:rPr>
          <w:rFonts w:ascii="楷体_GB2312" w:hAnsi="宋体" w:eastAsia="楷体_GB2312" w:cs="黑体"/>
          <w:color w:val="222222"/>
          <w:sz w:val="32"/>
          <w:szCs w:val="32"/>
        </w:rPr>
      </w:pPr>
      <w:r>
        <w:rPr>
          <w:rFonts w:ascii="楷体_GB2312" w:hAnsi="宋体" w:eastAsia="楷体_GB2312" w:cs="黑体"/>
          <w:color w:val="222222"/>
          <w:sz w:val="32"/>
          <w:szCs w:val="32"/>
        </w:rPr>
        <w:t>第三部分 201</w:t>
      </w:r>
      <w:r>
        <w:rPr>
          <w:rFonts w:hint="eastAsia" w:ascii="楷体_GB2312" w:hAnsi="宋体" w:eastAsia="楷体_GB2312" w:cs="黑体"/>
          <w:color w:val="222222"/>
          <w:sz w:val="32"/>
          <w:szCs w:val="32"/>
        </w:rPr>
        <w:t>6</w:t>
      </w:r>
      <w:r>
        <w:rPr>
          <w:rFonts w:ascii="楷体_GB2312" w:hAnsi="宋体" w:eastAsia="楷体_GB2312" w:cs="黑体"/>
          <w:color w:val="222222"/>
          <w:sz w:val="32"/>
          <w:szCs w:val="32"/>
        </w:rPr>
        <w:t>年度部门决算情况说明</w:t>
      </w:r>
    </w:p>
    <w:p>
      <w:pPr>
        <w:pStyle w:val="2"/>
        <w:widowControl/>
        <w:spacing w:line="500" w:lineRule="exact"/>
        <w:ind w:firstLine="640" w:firstLineChars="200"/>
        <w:rPr>
          <w:rFonts w:ascii="楷体_GB2312" w:hAnsi="微软雅黑" w:eastAsia="楷体_GB2312" w:cs="楷体_GB2312"/>
          <w:color w:val="222222"/>
          <w:kern w:val="2"/>
          <w:sz w:val="32"/>
          <w:szCs w:val="32"/>
        </w:rPr>
      </w:pPr>
      <w:r>
        <w:rPr>
          <w:rFonts w:ascii="楷体_GB2312" w:hAnsi="微软雅黑" w:eastAsia="楷体_GB2312" w:cs="楷体_GB2312"/>
          <w:color w:val="222222"/>
          <w:kern w:val="2"/>
          <w:sz w:val="32"/>
          <w:szCs w:val="32"/>
        </w:rPr>
        <w:t>（一）收入支出结构说明</w:t>
      </w:r>
    </w:p>
    <w:p>
      <w:pPr>
        <w:widowControl/>
        <w:spacing w:line="600" w:lineRule="exact"/>
        <w:ind w:firstLine="640" w:firstLineChars="200"/>
        <w:jc w:val="left"/>
        <w:rPr>
          <w:rFonts w:ascii="楷体_GB2312" w:hAnsi="楷体" w:eastAsia="楷体_GB2312" w:cs="楷体_GB2312"/>
          <w:color w:val="222222"/>
          <w:sz w:val="32"/>
          <w:szCs w:val="32"/>
        </w:rPr>
      </w:pPr>
      <w:r>
        <w:rPr>
          <w:rFonts w:ascii="楷体_GB2312" w:hAnsi="仿宋_GB2312" w:eastAsia="楷体_GB2312" w:cs="仿宋_GB2312"/>
          <w:color w:val="222222"/>
          <w:sz w:val="32"/>
          <w:szCs w:val="32"/>
        </w:rPr>
        <w:t>1、201</w:t>
      </w:r>
      <w:r>
        <w:rPr>
          <w:rFonts w:hint="eastAsia" w:ascii="楷体_GB2312" w:hAnsi="仿宋_GB2312" w:eastAsia="楷体_GB2312" w:cs="仿宋_GB2312"/>
          <w:color w:val="222222"/>
          <w:sz w:val="32"/>
          <w:szCs w:val="32"/>
        </w:rPr>
        <w:t>6</w:t>
      </w:r>
      <w:r>
        <w:rPr>
          <w:rFonts w:ascii="楷体_GB2312" w:hAnsi="仿宋_GB2312" w:eastAsia="楷体_GB2312" w:cs="仿宋_GB2312"/>
          <w:color w:val="222222"/>
          <w:sz w:val="32"/>
          <w:szCs w:val="32"/>
        </w:rPr>
        <w:t>年一般预算财政拨款收入</w:t>
      </w:r>
      <w:r>
        <w:rPr>
          <w:rFonts w:hint="eastAsia" w:ascii="楷体_GB2312" w:hAnsi="仿宋_GB2312" w:eastAsia="楷体_GB2312" w:cs="仿宋_GB2312"/>
          <w:color w:val="222222"/>
          <w:sz w:val="32"/>
          <w:szCs w:val="32"/>
        </w:rPr>
        <w:t>173.75</w:t>
      </w:r>
      <w:r>
        <w:rPr>
          <w:rFonts w:ascii="楷体_GB2312" w:hAnsi="仿宋_GB2312" w:eastAsia="楷体_GB2312" w:cs="仿宋_GB2312"/>
          <w:color w:val="222222"/>
          <w:sz w:val="32"/>
          <w:szCs w:val="32"/>
        </w:rPr>
        <w:t>万元，较201</w:t>
      </w:r>
      <w:r>
        <w:rPr>
          <w:rFonts w:hint="eastAsia" w:ascii="楷体_GB2312" w:hAnsi="仿宋_GB2312" w:eastAsia="楷体_GB2312" w:cs="仿宋_GB2312"/>
          <w:color w:val="222222"/>
          <w:sz w:val="32"/>
          <w:szCs w:val="32"/>
        </w:rPr>
        <w:t>5</w:t>
      </w:r>
      <w:r>
        <w:rPr>
          <w:rFonts w:ascii="楷体_GB2312" w:hAnsi="仿宋_GB2312" w:eastAsia="楷体_GB2312" w:cs="仿宋_GB2312"/>
          <w:color w:val="222222"/>
          <w:sz w:val="32"/>
          <w:szCs w:val="32"/>
        </w:rPr>
        <w:t xml:space="preserve">年度116.32万元增加了 </w:t>
      </w:r>
      <w:r>
        <w:rPr>
          <w:rFonts w:hint="eastAsia" w:ascii="楷体_GB2312" w:hAnsi="仿宋_GB2312" w:eastAsia="楷体_GB2312" w:cs="仿宋_GB2312"/>
          <w:color w:val="222222"/>
          <w:sz w:val="32"/>
          <w:szCs w:val="32"/>
        </w:rPr>
        <w:t>57.43</w:t>
      </w:r>
      <w:r>
        <w:rPr>
          <w:rFonts w:ascii="楷体_GB2312" w:hAnsi="仿宋_GB2312" w:eastAsia="楷体_GB2312" w:cs="仿宋_GB2312"/>
          <w:color w:val="222222"/>
          <w:sz w:val="32"/>
          <w:szCs w:val="32"/>
        </w:rPr>
        <w:t>万元，其增加的主要原因是</w:t>
      </w:r>
      <w:r>
        <w:rPr>
          <w:rFonts w:ascii="楷体_GB2312" w:hAnsi="楷体" w:eastAsia="楷体_GB2312" w:cs="楷体_GB2312"/>
          <w:b/>
          <w:color w:val="222222"/>
          <w:sz w:val="32"/>
          <w:szCs w:val="32"/>
        </w:rPr>
        <w:t>。</w:t>
      </w:r>
      <w:r>
        <w:rPr>
          <w:rFonts w:ascii="楷体_GB2312" w:hAnsi="楷体" w:eastAsia="楷体_GB2312" w:cs="楷体_GB2312"/>
          <w:color w:val="222222"/>
          <w:sz w:val="32"/>
          <w:szCs w:val="32"/>
        </w:rPr>
        <w:t>1、改善教学环境。2、改善机关办公设施。3、改善校园环境。4、配备了冬季采暖设施。5、对教学办公楼顶的维修改造。6、配置一间多媒体教室。7、购置1000多册图书。</w:t>
      </w:r>
    </w:p>
    <w:p>
      <w:pPr>
        <w:pStyle w:val="2"/>
        <w:widowControl/>
        <w:spacing w:line="500" w:lineRule="exact"/>
        <w:ind w:left="638" w:leftChars="304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2、201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6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年结余 150 万元。主要是因为部分工作为跨年度工作，款项年底到账，未能支出。</w:t>
      </w:r>
    </w:p>
    <w:p>
      <w:pPr>
        <w:pStyle w:val="2"/>
        <w:widowControl/>
        <w:spacing w:line="500" w:lineRule="exact"/>
        <w:ind w:firstLine="640" w:firstLineChars="200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（二）资产负债情况说明</w:t>
      </w:r>
    </w:p>
    <w:p>
      <w:pPr>
        <w:pStyle w:val="2"/>
        <w:widowControl/>
        <w:spacing w:line="500" w:lineRule="exact"/>
        <w:ind w:firstLine="640" w:firstLineChars="200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6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年末财政拨款结转 150 万元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.</w:t>
      </w:r>
    </w:p>
    <w:p>
      <w:pPr>
        <w:pStyle w:val="2"/>
        <w:widowControl/>
        <w:spacing w:line="500" w:lineRule="exact"/>
        <w:ind w:firstLine="640" w:firstLineChars="200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（三）经费支出说明</w:t>
      </w:r>
    </w:p>
    <w:p>
      <w:pPr>
        <w:pStyle w:val="2"/>
        <w:widowControl/>
        <w:spacing w:line="500" w:lineRule="exact"/>
        <w:ind w:firstLine="640" w:firstLineChars="200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6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 xml:space="preserve">年总支出 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173.75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万元，其中：人员经费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146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万元，日常支出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27.7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万元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.</w:t>
      </w:r>
    </w:p>
    <w:p>
      <w:pPr>
        <w:pStyle w:val="2"/>
        <w:widowControl/>
        <w:spacing w:line="500" w:lineRule="exact"/>
        <w:ind w:firstLine="640" w:firstLineChars="200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 xml:space="preserve">（四）“三公经费”支出说明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6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年度我单位无三公费用支出，没有出国出境人员没有产生出境费用支出。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pStyle w:val="2"/>
        <w:widowControl/>
        <w:spacing w:line="500" w:lineRule="exact"/>
        <w:ind w:left="638" w:leftChars="304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  <w:bookmarkStart w:id="0" w:name="_GoBack"/>
      <w:bookmarkEnd w:id="0"/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pStyle w:val="2"/>
        <w:widowControl/>
        <w:spacing w:line="500" w:lineRule="exact"/>
        <w:ind w:firstLine="640" w:firstLineChars="200"/>
        <w:jc w:val="right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永和县县委党校</w:t>
      </w:r>
    </w:p>
    <w:p>
      <w:pPr>
        <w:pStyle w:val="2"/>
        <w:widowControl/>
        <w:spacing w:line="500" w:lineRule="exact"/>
        <w:jc w:val="right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7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年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9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月1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3</w:t>
      </w:r>
      <w:r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  <w:t>日</w:t>
      </w:r>
    </w:p>
    <w:p>
      <w:pPr>
        <w:pStyle w:val="2"/>
        <w:widowControl/>
        <w:spacing w:line="500" w:lineRule="exact"/>
        <w:rPr>
          <w:rFonts w:ascii="楷体_GB2312" w:hAnsi="仿宋_GB2312" w:eastAsia="楷体_GB2312" w:cs="仿宋_GB2312"/>
          <w:color w:val="222222"/>
          <w:kern w:val="2"/>
          <w:sz w:val="32"/>
          <w:szCs w:val="32"/>
        </w:rPr>
      </w:pPr>
    </w:p>
    <w:p>
      <w:pPr>
        <w:widowControl/>
        <w:jc w:val="left"/>
      </w:pPr>
    </w:p>
    <w:p>
      <w:pPr>
        <w:pStyle w:val="2"/>
        <w:widowControl/>
        <w:spacing w:line="432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47C10A5"/>
    <w:rsid w:val="005227B5"/>
    <w:rsid w:val="00C96A6E"/>
    <w:rsid w:val="047C10A5"/>
    <w:rsid w:val="0BB309E4"/>
    <w:rsid w:val="16E3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rFonts w:cs="Times New Roman"/>
      <w:kern w:val="0"/>
      <w:sz w:val="24"/>
    </w:rPr>
  </w:style>
  <w:style w:type="character" w:styleId="4">
    <w:name w:val="FollowedHyperlink"/>
    <w:basedOn w:val="3"/>
    <w:uiPriority w:val="0"/>
    <w:rPr>
      <w:color w:val="222222"/>
      <w:u w:val="none"/>
    </w:rPr>
  </w:style>
  <w:style w:type="character" w:styleId="5">
    <w:name w:val="Hyperlink"/>
    <w:basedOn w:val="3"/>
    <w:uiPriority w:val="0"/>
    <w:rPr>
      <w:color w:val="222222"/>
      <w:u w:val="none"/>
    </w:rPr>
  </w:style>
  <w:style w:type="character" w:customStyle="1" w:styleId="7">
    <w:name w:val="v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209</Words>
  <Characters>1192</Characters>
  <Lines>9</Lines>
  <Paragraphs>2</Paragraphs>
  <ScaleCrop>false</ScaleCrop>
  <LinksUpToDate>false</LinksUpToDate>
  <CharactersWithSpaces>1399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2017-09-13T02:13:00Z</dcterms:created>
  <dc:creator>Administrator</dc:creator>
  <cp:lastModifiedBy>Administrator</cp:lastModifiedBy>
  <dcterms:modified xsi:type="dcterms:W3CDTF">2017-11-06T10:09:34Z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