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44"/>
          <w:szCs w:val="44"/>
        </w:rPr>
        <w:t>永和县坡头人民政府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44"/>
          <w:szCs w:val="44"/>
        </w:rPr>
        <w:t>2016年度部门决算情况说明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44"/>
          <w:szCs w:val="44"/>
        </w:rPr>
        <w:t> 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第一部分  概况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（一）主要职能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1、贯彻执行党和国家的有关方针、政策、法律和法规；执行上级政府的决定和命令；拟订适合本乡实际的具体政策措施，并有效地组织实施；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2、组织制订并实施本乡经济和社会发展中长期规划，搞好经济发展的总体布局和产业结构的调整；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3、负责组织编制本乡建设的总体规划，并组织实施，抓好本乡建设用地的规划管理工作；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4、负责本乡的科技、教育、文化、卫生等事业发展和计划生育工作；负责本乡社会治安综合治理，维护社会稳定；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5、编制本乡财政预决算计划，负责经费的划拨和核算工作；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6、完成县政府交办的其他工作任务。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（二）部门决算单位构成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永和县坡头乡人民政府为独立编制及独立核算机构，机构数为1个。编制为公共预算单位，共有财政人员35人，编制34人（其中：行政编制22人，事业编制13人）。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第二部分  2016年度部门决算报表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第三部分  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（一）收入支出结构说明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一般预算财政拨款收入3922045元，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总支出3922045元，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占总收入的100%，结余0万元。</w:t>
      </w: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  <w:lang w:eastAsia="zh-CN"/>
        </w:rPr>
        <w:t>行政运行</w:t>
      </w: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  <w:lang w:val="en-US" w:eastAsia="zh-CN"/>
        </w:rPr>
        <w:t>182360元，无机关运行。</w:t>
      </w:r>
      <w:bookmarkStart w:id="0" w:name="_GoBack"/>
      <w:bookmarkEnd w:id="0"/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（二）一般公共服务支出182360元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①基本支出2970345元。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②项目支出951700元。</w:t>
      </w:r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  <w:t>④2016年度三公经费支出20000元（其中用车维护费20000元）。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hd w:val="clear" w:color="auto" w:fill="FFFFFF"/>
        <w:spacing w:line="293" w:lineRule="atLeast"/>
        <w:ind w:firstLine="640"/>
        <w:rPr>
          <w:rFonts w:hint="eastAsia" w:ascii="仿宋_GB2312" w:hAnsi="微软雅黑" w:eastAsia="仿宋_GB2312" w:cs="宋体"/>
          <w:color w:val="222222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5E76"/>
    <w:rsid w:val="00075E76"/>
    <w:rsid w:val="00545601"/>
    <w:rsid w:val="09AD0525"/>
    <w:rsid w:val="3B39745D"/>
    <w:rsid w:val="7E23723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82</Words>
  <Characters>470</Characters>
  <Lines>3</Lines>
  <Paragraphs>1</Paragraphs>
  <ScaleCrop>false</ScaleCrop>
  <LinksUpToDate>false</LinksUpToDate>
  <CharactersWithSpaces>551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2017-09-14T08:43:00Z</dcterms:created>
  <dc:creator>dreamsummit</dc:creator>
  <cp:lastModifiedBy>hp</cp:lastModifiedBy>
  <dcterms:modified xsi:type="dcterms:W3CDTF">2017-11-06T14:01:43Z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