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432" w:lineRule="auto"/>
        <w:ind w:left="0" w:right="0"/>
        <w:jc w:val="center"/>
        <w:rPr>
          <w:rFonts w:ascii="Times New Roman" w:hAnsi="Times New Roman" w:eastAsia="黑体" w:cs="黑体"/>
          <w:b/>
          <w:color w:val="222222"/>
          <w:spacing w:val="4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432" w:lineRule="auto"/>
        <w:ind w:left="0" w:right="0"/>
        <w:jc w:val="center"/>
        <w:rPr>
          <w:rFonts w:ascii="微软雅黑" w:hAnsi="微软雅黑" w:eastAsia="微软雅黑" w:cs="微软雅黑"/>
          <w:color w:val="222222"/>
          <w:sz w:val="18"/>
          <w:szCs w:val="18"/>
        </w:rPr>
      </w:pPr>
      <w:r>
        <w:rPr>
          <w:rFonts w:ascii="Times New Roman" w:hAnsi="Times New Roman" w:eastAsia="黑体" w:cs="黑体"/>
          <w:b/>
          <w:color w:val="222222"/>
          <w:spacing w:val="40"/>
          <w:kern w:val="2"/>
          <w:sz w:val="44"/>
          <w:szCs w:val="44"/>
          <w:lang w:val="en-US" w:eastAsia="zh-CN" w:bidi="ar"/>
        </w:rPr>
        <w:t>永和县广播电视服务中心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432" w:lineRule="auto"/>
        <w:ind w:left="0" w:right="0"/>
        <w:jc w:val="center"/>
        <w:rPr>
          <w:rFonts w:hint="eastAsia" w:ascii="Times New Roman" w:hAnsi="Times New Roman" w:eastAsia="黑体" w:cs="黑体"/>
          <w:b/>
          <w:color w:val="222222"/>
          <w:spacing w:val="40"/>
          <w:kern w:val="2"/>
          <w:sz w:val="44"/>
          <w:szCs w:val="44"/>
        </w:rPr>
      </w:pPr>
      <w:r>
        <w:rPr>
          <w:rFonts w:hint="eastAsia" w:ascii="黑体" w:hAnsi="宋体" w:eastAsia="黑体" w:cs="黑体"/>
          <w:b/>
          <w:color w:val="222222"/>
          <w:spacing w:val="40"/>
          <w:kern w:val="2"/>
          <w:sz w:val="44"/>
          <w:szCs w:val="44"/>
          <w:lang w:val="en-US" w:eastAsia="zh-CN" w:bidi="ar"/>
        </w:rPr>
        <w:t>2016年部门决算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432" w:lineRule="auto"/>
        <w:ind w:left="0" w:right="0"/>
        <w:jc w:val="left"/>
        <w:rPr>
          <w:rFonts w:hint="eastAsia" w:ascii="宋体" w:hAnsi="宋体" w:eastAsia="宋体" w:cs="宋体"/>
          <w:b w:val="0"/>
          <w:color w:val="222222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432" w:lineRule="auto"/>
        <w:ind w:left="0" w:right="0"/>
        <w:jc w:val="center"/>
        <w:rPr>
          <w:rFonts w:hint="eastAsia" w:ascii="宋体" w:hAnsi="宋体" w:eastAsia="宋体" w:cs="宋体"/>
          <w:b/>
          <w:color w:val="222222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 xml:space="preserve">第一部分   概况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一、主要职能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 xml:space="preserve">播映电视节目，促进社会经济文化发展；进行电视节目制作、电视节目播出、电视节目转播、电视产业经营和电视节目研究。服务永和经济建设。  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二、部门决算单位构成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根据永编发[1997]6号文件精神。永和县广播电视服务中心与永和县广播电视台实行“局台合一”体制。机构设置方案为设：新闻专题、播出部、技术部、社会管理部、办公室、广告部，为差额财政拨款事业单位。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2" w:firstLineChars="200"/>
        <w:jc w:val="center"/>
        <w:rPr>
          <w:rFonts w:hint="eastAsia" w:ascii="宋体" w:hAnsi="宋体" w:eastAsia="宋体" w:cs="宋体"/>
          <w:b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color w:val="22222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43" w:firstLineChars="200"/>
        <w:jc w:val="center"/>
        <w:rPr>
          <w:rFonts w:hint="eastAsia" w:ascii="宋体" w:hAnsi="宋体" w:eastAsia="宋体" w:cs="宋体"/>
          <w:b/>
          <w:color w:val="222222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第二部分    2016年度部门决算报表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560" w:firstLineChars="200"/>
        <w:jc w:val="both"/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both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本部分内容见附表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43" w:firstLineChars="200"/>
        <w:jc w:val="center"/>
        <w:rPr>
          <w:rFonts w:hint="eastAsia" w:ascii="宋体" w:hAnsi="宋体" w:eastAsia="宋体" w:cs="宋体"/>
          <w:b/>
          <w:color w:val="222222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43" w:firstLineChars="200"/>
        <w:jc w:val="both"/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1606" w:firstLineChars="500"/>
        <w:jc w:val="both"/>
        <w:rPr>
          <w:rFonts w:hint="eastAsia" w:ascii="宋体" w:hAnsi="宋体" w:eastAsia="宋体" w:cs="宋体"/>
          <w:b/>
          <w:color w:val="222222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第三部分   2016年部门决算情况说明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56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2016年共计收入4064952元。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决算支出3745162元。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现就各项支出情况说明如下：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1、项目支出：累计支出1041989.7元。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2、公用支出：2703172.6元。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行政运行2916752元。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（1）人员工资、津贴、绩效工资。共计支出2483248.8元。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（2）劳务费用支出64080元。用于聘用工作人员自办永和电视台相关栏目。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（3）公用支出334404.5元。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（4）三公经费2300元。主要用于接待上级单位来我中心检查，指导工作及兄弟单位来永和交流工作经验座谈费用。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0" w:firstLineChars="200"/>
        <w:jc w:val="left"/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color w:val="222222"/>
          <w:kern w:val="2"/>
          <w:sz w:val="30"/>
          <w:szCs w:val="30"/>
          <w:lang w:val="en-US" w:eastAsia="zh-CN" w:bidi="ar"/>
        </w:rPr>
        <w:t>我中心按照上级的要求，严格财务管理，合理使用资金，圆满完成2016年度工作任务。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602" w:firstLineChars="200"/>
        <w:jc w:val="left"/>
        <w:rPr>
          <w:rFonts w:hint="eastAsia" w:ascii="宋体" w:hAnsi="宋体" w:eastAsia="宋体" w:cs="宋体"/>
          <w:b/>
          <w:color w:val="222222"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color w:val="222222"/>
          <w:kern w:val="2"/>
          <w:sz w:val="30"/>
          <w:szCs w:val="30"/>
          <w:lang w:val="en-US" w:eastAsia="zh-CN" w:bidi="ar"/>
        </w:rPr>
        <w:t xml:space="preserve"> 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6677E"/>
    <w:rsid w:val="0423270D"/>
    <w:rsid w:val="43F947C9"/>
    <w:rsid w:val="4BAE3B15"/>
    <w:rsid w:val="4D36677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222222"/>
      <w:u w:val="none"/>
    </w:rPr>
  </w:style>
  <w:style w:type="character" w:styleId="4">
    <w:name w:val="Hyperlink"/>
    <w:basedOn w:val="2"/>
    <w:uiPriority w:val="0"/>
    <w:rPr>
      <w:color w:val="222222"/>
      <w:u w:val="none"/>
    </w:rPr>
  </w:style>
  <w:style w:type="character" w:customStyle="1" w:styleId="6">
    <w:name w:val="v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2017-09-14T02:59:00Z</dcterms:created>
  <dc:creator>Administrator</dc:creator>
  <cp:lastModifiedBy>hp</cp:lastModifiedBy>
  <cp:lastPrinted>2017-09-14T03:07:00Z</cp:lastPrinted>
  <dcterms:modified xsi:type="dcterms:W3CDTF">2017-11-06T12:09:14Z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