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</w:pPr>
      <w:r>
        <w:rPr>
          <w:rFonts w:hint="eastAsia" w:ascii="方正大标宋简体" w:hAnsi="黑体" w:eastAsia="方正大标宋简体" w:cs="黑体"/>
          <w:color w:val="000000"/>
          <w:kern w:val="0"/>
          <w:sz w:val="36"/>
          <w:szCs w:val="36"/>
        </w:rPr>
        <w:t>红军东征永和纪念馆</w:t>
      </w:r>
    </w:p>
    <w:p>
      <w:pPr>
        <w:widowControl/>
        <w:jc w:val="center"/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</w:pPr>
      <w:r>
        <w:rPr>
          <w:rFonts w:ascii="方正大标宋简体" w:hAnsi="黑体" w:eastAsia="方正大标宋简体" w:cs="黑体"/>
          <w:color w:val="000000"/>
          <w:kern w:val="0"/>
          <w:sz w:val="36"/>
          <w:szCs w:val="36"/>
        </w:rPr>
        <w:t>201</w:t>
      </w:r>
      <w:r>
        <w:rPr>
          <w:rFonts w:hint="eastAsia" w:ascii="方正大标宋简体" w:hAnsi="黑体" w:eastAsia="方正大标宋简体" w:cs="黑体"/>
          <w:color w:val="000000"/>
          <w:kern w:val="0"/>
          <w:sz w:val="36"/>
          <w:szCs w:val="36"/>
        </w:rPr>
        <w:t>6年度部门决算情况说明</w:t>
      </w:r>
    </w:p>
    <w:p>
      <w:pPr>
        <w:widowControl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</w:p>
    <w:p>
      <w:pPr>
        <w:ind w:left="420" w:leftChars="200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第一部分 概况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一、主要职能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宣传以爱国主义教育为核心的红军东征精神；围绕县委中心工作，做好红色旅游服务；加强旅游开发建设，创造优美环境，提高接待质量；加强管理，进一步做好馆内安全保卫工作；创新载体，大力开展对外宣传和交流工作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二、部门决算部位构成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红军东征永和纪念馆为独立编制（永编发</w:t>
      </w:r>
      <w:r>
        <w:rPr>
          <w:rFonts w:hint="eastAsia" w:ascii="宋体" w:hAnsi="宋体" w:cs="仿宋"/>
          <w:color w:val="000000"/>
          <w:kern w:val="0"/>
          <w:sz w:val="32"/>
          <w:szCs w:val="32"/>
        </w:rPr>
        <w:t>〔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2011</w:t>
      </w:r>
      <w:r>
        <w:rPr>
          <w:rFonts w:hint="eastAsia" w:ascii="宋体" w:hAnsi="宋体" w:cs="仿宋"/>
          <w:color w:val="000000"/>
          <w:kern w:val="0"/>
          <w:sz w:val="32"/>
          <w:szCs w:val="32"/>
        </w:rPr>
        <w:t>〕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15号），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2015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年独立核算，机构数为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个。编制为公共预算财政补助单位，编制人数为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人，年末实有人数为3人，比上年增加50%，新招录1 人。</w:t>
      </w:r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第二部分  2016年度部门决算报表（见决算表）</w:t>
      </w:r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第三部分  2016年度部门决算情况说明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6年度收入总计72.04万元，全部为公共预算财政拨款。比上年增长164.41%，增加专项维修费46万元。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6年度一般公共预算财政拨款支出决算为42.03万元，比上年增长112.62%，。具体情况如下：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按支出功能分类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宣传事务支出42.02万元，其中：机构运行26.02万元，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占总支出的62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%；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 xml:space="preserve"> 其他宣传事务支出16万元，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占总支出的38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</w:t>
      </w:r>
    </w:p>
    <w:p>
      <w:pPr>
        <w:widowControl/>
        <w:tabs>
          <w:tab w:val="left" w:pos="523"/>
        </w:tabs>
        <w:ind w:firstLine="681" w:firstLineChars="213"/>
        <w:jc w:val="left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ab/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按支出性质分类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基本支出26.02万元，占总支出的62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%，项目支出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16万元，占总支出的38</w:t>
      </w:r>
      <w:r>
        <w:rPr>
          <w:rFonts w:ascii="仿宋_GB2312" w:hAnsi="宋体" w:eastAsia="仿宋_GB2312" w:cs="宋体"/>
          <w:color w:val="545454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  <w:lang w:eastAsia="zh-CN"/>
        </w:rPr>
        <w:t>行政运行</w:t>
      </w:r>
      <w:r>
        <w:rPr>
          <w:rFonts w:hint="eastAsia" w:ascii="仿宋_GB2312" w:hAnsi="宋体" w:eastAsia="仿宋_GB2312" w:cs="宋体"/>
          <w:color w:val="545454"/>
          <w:kern w:val="0"/>
          <w:sz w:val="32"/>
          <w:szCs w:val="32"/>
          <w:lang w:val="en-US" w:eastAsia="zh-CN"/>
        </w:rPr>
        <w:t>260396元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ascii="仿宋_GB2312" w:hAnsi="楷体" w:eastAsia="仿宋_GB2312" w:cs="楷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kern w:val="0"/>
          <w:sz w:val="32"/>
          <w:szCs w:val="32"/>
        </w:rPr>
        <w:t>四、一般公共预算财政拨款“三公”经费支出决算情况说明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6年度，未发生“三公”经费费用，公务用车购置费未支出。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我单位没有因公出国出境人员及购车，没有产生费用。</w:t>
      </w:r>
    </w:p>
    <w:p>
      <w:pPr>
        <w:widowControl/>
        <w:spacing w:before="100" w:beforeAutospacing="1" w:after="100" w:afterAutospacing="1" w:line="432" w:lineRule="auto"/>
        <w:ind w:firstLine="707" w:firstLineChars="221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pacing w:before="100" w:beforeAutospacing="1" w:after="100" w:afterAutospacing="1" w:line="432" w:lineRule="auto"/>
        <w:ind w:firstLine="707" w:firstLineChars="221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B8"/>
    <w:rsid w:val="00060864"/>
    <w:rsid w:val="00060A69"/>
    <w:rsid w:val="00092994"/>
    <w:rsid w:val="000A447D"/>
    <w:rsid w:val="000D78B8"/>
    <w:rsid w:val="000E192A"/>
    <w:rsid w:val="00100EA6"/>
    <w:rsid w:val="00146DBC"/>
    <w:rsid w:val="00193167"/>
    <w:rsid w:val="002D06E2"/>
    <w:rsid w:val="003D25B5"/>
    <w:rsid w:val="00465D99"/>
    <w:rsid w:val="004D3EFE"/>
    <w:rsid w:val="00513F50"/>
    <w:rsid w:val="00583AFE"/>
    <w:rsid w:val="00585600"/>
    <w:rsid w:val="005904AE"/>
    <w:rsid w:val="005E7328"/>
    <w:rsid w:val="005F2336"/>
    <w:rsid w:val="005F35DD"/>
    <w:rsid w:val="00614698"/>
    <w:rsid w:val="006A7918"/>
    <w:rsid w:val="0070411A"/>
    <w:rsid w:val="007309D2"/>
    <w:rsid w:val="007402D1"/>
    <w:rsid w:val="007946DE"/>
    <w:rsid w:val="007A60B5"/>
    <w:rsid w:val="007C3845"/>
    <w:rsid w:val="007E1AF6"/>
    <w:rsid w:val="00831F48"/>
    <w:rsid w:val="00895441"/>
    <w:rsid w:val="009210B4"/>
    <w:rsid w:val="009F7E7B"/>
    <w:rsid w:val="00A47FFE"/>
    <w:rsid w:val="00A60BC3"/>
    <w:rsid w:val="00A939BE"/>
    <w:rsid w:val="00AD74E1"/>
    <w:rsid w:val="00AE27F9"/>
    <w:rsid w:val="00B91F9D"/>
    <w:rsid w:val="00B9683E"/>
    <w:rsid w:val="00BA1CE3"/>
    <w:rsid w:val="00BF192B"/>
    <w:rsid w:val="00C12DAC"/>
    <w:rsid w:val="00C72D25"/>
    <w:rsid w:val="00CA6290"/>
    <w:rsid w:val="00CD0186"/>
    <w:rsid w:val="00D07BA3"/>
    <w:rsid w:val="00D221A4"/>
    <w:rsid w:val="00DD7642"/>
    <w:rsid w:val="00DE4A7E"/>
    <w:rsid w:val="00DF73E4"/>
    <w:rsid w:val="00E21851"/>
    <w:rsid w:val="00F12A90"/>
    <w:rsid w:val="00F24FC3"/>
    <w:rsid w:val="00F91FB7"/>
    <w:rsid w:val="00FE7BC8"/>
    <w:rsid w:val="019869E3"/>
    <w:rsid w:val="0E64793B"/>
    <w:rsid w:val="0EE716B6"/>
    <w:rsid w:val="10EB593F"/>
    <w:rsid w:val="10F5664B"/>
    <w:rsid w:val="265428BE"/>
    <w:rsid w:val="28DF4D36"/>
    <w:rsid w:val="3A2A4766"/>
    <w:rsid w:val="3F890782"/>
    <w:rsid w:val="4ABB78C4"/>
    <w:rsid w:val="50BD4054"/>
    <w:rsid w:val="5EAE6186"/>
    <w:rsid w:val="62C210A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BEA751-123E-4251-A1C4-361F250391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485</Words>
  <Characters>97</Characters>
  <Lines>1</Lines>
  <Paragraphs>1</Paragraphs>
  <ScaleCrop>false</ScaleCrop>
  <LinksUpToDate>false</LinksUpToDate>
  <CharactersWithSpaces>581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2016-08-16T12:40:00Z</dcterms:created>
  <dc:creator>apple</dc:creator>
  <cp:lastModifiedBy>hp</cp:lastModifiedBy>
  <dcterms:modified xsi:type="dcterms:W3CDTF">2017-11-06T13:20:41Z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