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</w:pPr>
      <w:r>
        <w:rPr>
          <w:rFonts w:hint="eastAsia" w:ascii="方正大标宋简体" w:hAnsi="黑体" w:eastAsia="方正大标宋简体" w:cs="黑体"/>
          <w:color w:val="000000"/>
          <w:kern w:val="0"/>
          <w:sz w:val="36"/>
          <w:szCs w:val="36"/>
        </w:rPr>
        <w:t>永和县农业综合开发办公室</w:t>
      </w:r>
    </w:p>
    <w:p>
      <w:pPr>
        <w:widowControl/>
        <w:jc w:val="center"/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</w:pPr>
      <w:r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  <w:t>2016</w:t>
      </w:r>
      <w:r>
        <w:rPr>
          <w:rFonts w:hint="eastAsia" w:ascii="方正大标宋简体" w:hAnsi="黑体" w:eastAsia="方正大标宋简体" w:cs="黑体"/>
          <w:color w:val="000000"/>
          <w:kern w:val="0"/>
          <w:sz w:val="36"/>
          <w:szCs w:val="36"/>
        </w:rPr>
        <w:t>年度部门决算情况说明</w:t>
      </w:r>
    </w:p>
    <w:p>
      <w:pPr>
        <w:widowControl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</w:p>
    <w:p>
      <w:pPr>
        <w:ind w:firstLine="421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b/>
          <w:color w:val="000000"/>
          <w:kern w:val="0"/>
          <w:sz w:val="32"/>
          <w:szCs w:val="32"/>
        </w:rPr>
        <w:t xml:space="preserve">第一部分  概况  </w:t>
      </w:r>
    </w:p>
    <w:p>
      <w:pPr>
        <w:ind w:firstLine="419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（一）主要职能</w:t>
      </w:r>
    </w:p>
    <w:p>
      <w:pPr>
        <w:ind w:firstLine="419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①贯彻执行农业综合开发的政策规定；</w:t>
      </w:r>
    </w:p>
    <w:p>
      <w:pPr>
        <w:ind w:firstLine="419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②制定全县农业综合开发的政策及项目资金、财务管理制度；</w:t>
      </w:r>
    </w:p>
    <w:p>
      <w:pPr>
        <w:ind w:firstLine="419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③编制农业综合开发规划；</w:t>
      </w:r>
    </w:p>
    <w:p>
      <w:pPr>
        <w:ind w:firstLine="419" w:firstLineChars="131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④管理和统筹安排农业综合开发资金；</w:t>
      </w:r>
    </w:p>
    <w:p>
      <w:pPr>
        <w:ind w:firstLine="419" w:firstLineChars="131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⑤组织检查农业综合开发项目的执行情况等工作。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kern w:val="3"/>
          <w:sz w:val="24"/>
          <w:szCs w:val="24"/>
        </w:rPr>
        <w:t>（</w:t>
      </w: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二）部门决算单位构成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永和县县农业综合开发办公室为独立编制及独立核算机构，机构数为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个。编制为公共预算财政补助单位，编制人数为8人，年末实有人数为3人。公务用车保有量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辆。</w:t>
      </w:r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第二部分  2016年度部门决算报表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第三部分  2016年度部门决算情况说明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年度收入总计291.23万元，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其中：公共预算财政拨款183.23万元，政府性基金预算财政拨款108万元。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年度支出总计818.41万元。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具体支出情况如下：</w:t>
      </w:r>
    </w:p>
    <w:p>
      <w:pPr>
        <w:widowControl/>
        <w:numPr>
          <w:ilvl w:val="0"/>
          <w:numId w:val="1"/>
        </w:numPr>
        <w:jc w:val="left"/>
        <w:rPr>
          <w:rFonts w:ascii="仿宋_GB2312" w:hAnsi="宋体" w:eastAsia="仿宋_GB2312" w:cs="宋体"/>
          <w:color w:val="54545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按支出功能分类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农林水支出－农业综合开发710.41万元，占总支出的86.8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其中：机构运行22.88万元，占总支出的2.8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。（主要用于工资福利支出12.22万元，商品和服务支出9.45万元，办公设备购置1.21万元）；土地治理627.53万元，占总支出的76.68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%；</w:t>
      </w:r>
      <w:r>
        <w:rPr>
          <w:rFonts w:hint="eastAsia" w:ascii="Baskerville Old Face" w:hAnsi="Baskerville Old Face" w:eastAsia="仿宋_GB2312" w:cs="仿宋"/>
          <w:color w:val="000000"/>
          <w:kern w:val="0"/>
          <w:sz w:val="32"/>
          <w:szCs w:val="32"/>
        </w:rPr>
        <w:t>科技示范45万元，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占总支出的5.5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%；</w:t>
      </w:r>
      <w:r>
        <w:rPr>
          <w:rFonts w:hint="eastAsia" w:ascii="Baskerville Old Face" w:hAnsi="Baskerville Old Face" w:eastAsia="仿宋_GB2312" w:cs="仿宋"/>
          <w:color w:val="000000"/>
          <w:kern w:val="0"/>
          <w:sz w:val="32"/>
          <w:szCs w:val="32"/>
        </w:rPr>
        <w:t>其他农业综合开发支出15万元，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占总支出的1.82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</w:t>
      </w:r>
    </w:p>
    <w:p>
      <w:pPr>
        <w:widowControl/>
        <w:ind w:firstLine="960" w:firstLineChars="3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城乡社区支出108万元，占总支出的13.2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其中：农业土地开发资金及对应专项债务收入安排的支出105万元，占总支出的12.84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%；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国有土地使用权出让收入及对应专项债务收入安排的支出3万元，占总支出的0.36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%。</w:t>
      </w:r>
    </w:p>
    <w:p>
      <w:pPr>
        <w:widowControl/>
        <w:tabs>
          <w:tab w:val="left" w:pos="523"/>
        </w:tabs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ab/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按支出性质分类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基本支出22.88万元，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占总支出的2.8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；项目支出795.53万元，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占总支出的97.2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。</w:t>
      </w:r>
    </w:p>
    <w:p>
      <w:pPr>
        <w:widowControl/>
        <w:tabs>
          <w:tab w:val="left" w:pos="523"/>
        </w:tabs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年末财政拨款结转232.38万元。土地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治理项目按设计为跨年度实施的项目，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因此，资金结转到下年较多。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机构运行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242369元。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3.</w:t>
      </w:r>
      <w:r>
        <w:rPr>
          <w:rFonts w:ascii="仿宋_GB2312" w:hAnsi="楷体" w:eastAsia="仿宋_GB2312" w:cs="楷体"/>
          <w:color w:val="000000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2016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年度“三公”经费财政拨款支出决算为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5.39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万元。其中：</w:t>
      </w:r>
    </w:p>
    <w:p>
      <w:pPr>
        <w:widowControl/>
        <w:spacing w:before="100" w:beforeAutospacing="1" w:after="100" w:afterAutospacing="1" w:line="432" w:lineRule="auto"/>
        <w:ind w:firstLine="720" w:firstLineChars="225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公务用车运行维护费支出2.45万元，比上年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4.54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万元减少46.14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，无公务用车购置支出。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公务接待费支出0.22万元，比上年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0.85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万元减少73.69</w:t>
      </w:r>
      <w:r>
        <w:rPr>
          <w:rFonts w:ascii="Baskerville Old Face" w:hAnsi="Baskerville Old Face" w:eastAsia="仿宋_GB2312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。公务接待3批，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8人次，主要用于上级部门检查工作的支出。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pacing w:before="100" w:beforeAutospacing="1" w:after="100" w:afterAutospacing="1" w:line="432" w:lineRule="auto"/>
        <w:ind w:firstLine="720" w:firstLineChars="225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2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pacing w:before="100" w:beforeAutospacing="1" w:after="100" w:afterAutospacing="1" w:line="432" w:lineRule="auto"/>
        <w:ind w:firstLine="720" w:firstLineChars="225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81D76"/>
    <w:multiLevelType w:val="multilevel"/>
    <w:tmpl w:val="20981D7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hAnsi="仿宋" w:cs="仿宋"/>
        <w:color w:val="000000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8B8"/>
    <w:rsid w:val="00060864"/>
    <w:rsid w:val="000A447D"/>
    <w:rsid w:val="000D78B8"/>
    <w:rsid w:val="000E192A"/>
    <w:rsid w:val="00102101"/>
    <w:rsid w:val="00146DBC"/>
    <w:rsid w:val="001A4325"/>
    <w:rsid w:val="0021221E"/>
    <w:rsid w:val="002A5FA5"/>
    <w:rsid w:val="002D687D"/>
    <w:rsid w:val="00361856"/>
    <w:rsid w:val="003840C3"/>
    <w:rsid w:val="003E7F51"/>
    <w:rsid w:val="004532D1"/>
    <w:rsid w:val="004966C7"/>
    <w:rsid w:val="004D3EFE"/>
    <w:rsid w:val="004E6D44"/>
    <w:rsid w:val="00583AFE"/>
    <w:rsid w:val="005F35DD"/>
    <w:rsid w:val="006922F8"/>
    <w:rsid w:val="0070411A"/>
    <w:rsid w:val="007309D2"/>
    <w:rsid w:val="007402D1"/>
    <w:rsid w:val="007A60B5"/>
    <w:rsid w:val="007B11DE"/>
    <w:rsid w:val="007B295E"/>
    <w:rsid w:val="007C3845"/>
    <w:rsid w:val="007E1AF6"/>
    <w:rsid w:val="00804B52"/>
    <w:rsid w:val="00831F48"/>
    <w:rsid w:val="0086457E"/>
    <w:rsid w:val="0098243F"/>
    <w:rsid w:val="009E7BE1"/>
    <w:rsid w:val="00A43551"/>
    <w:rsid w:val="00A47FFE"/>
    <w:rsid w:val="00A626A8"/>
    <w:rsid w:val="00A75A7A"/>
    <w:rsid w:val="00AD74E1"/>
    <w:rsid w:val="00AE7B06"/>
    <w:rsid w:val="00BF192B"/>
    <w:rsid w:val="00C03B42"/>
    <w:rsid w:val="00C12DAC"/>
    <w:rsid w:val="00C72D25"/>
    <w:rsid w:val="00CA6290"/>
    <w:rsid w:val="00D07BA3"/>
    <w:rsid w:val="00D221A4"/>
    <w:rsid w:val="00D84B3A"/>
    <w:rsid w:val="00DF73E4"/>
    <w:rsid w:val="00E21851"/>
    <w:rsid w:val="00EA1CFF"/>
    <w:rsid w:val="00F12A90"/>
    <w:rsid w:val="00F12E0B"/>
    <w:rsid w:val="00F24FC3"/>
    <w:rsid w:val="00F91FB7"/>
    <w:rsid w:val="00FE7BC8"/>
    <w:rsid w:val="00FF69BE"/>
    <w:rsid w:val="019869E3"/>
    <w:rsid w:val="10EB593F"/>
    <w:rsid w:val="28DF4D36"/>
    <w:rsid w:val="2DFC0AB5"/>
    <w:rsid w:val="3B242ACC"/>
    <w:rsid w:val="4ABB78C4"/>
    <w:rsid w:val="5C217F71"/>
    <w:rsid w:val="5EAE6186"/>
    <w:rsid w:val="62C210A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179</Characters>
  <Lines>1</Lines>
  <Paragraphs>1</Paragraphs>
  <ScaleCrop>false</ScaleCrop>
  <LinksUpToDate>false</LinksUpToDate>
  <CharactersWithSpaces>903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2016-06-07T01:27:00Z</dcterms:created>
  <dc:creator>apple</dc:creator>
  <cp:lastModifiedBy>hp</cp:lastModifiedBy>
  <cp:lastPrinted>2016-12-06T07:52:00Z</cp:lastPrinted>
  <dcterms:modified xsi:type="dcterms:W3CDTF">2017-11-06T13:33:33Z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