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 w:line="480" w:lineRule="atLeast"/>
        <w:jc w:val="center"/>
        <w:rPr>
          <w:rFonts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b/>
          <w:bCs/>
          <w:color w:val="444444"/>
          <w:sz w:val="44"/>
          <w:szCs w:val="44"/>
        </w:rPr>
        <w:t>永和县交口乡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b/>
          <w:bCs/>
          <w:color w:val="444444"/>
          <w:sz w:val="44"/>
          <w:szCs w:val="44"/>
        </w:rPr>
        <w:t>交口中心校2016年度部门决算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b/>
          <w:bCs/>
          <w:color w:val="444444"/>
          <w:sz w:val="32"/>
          <w:szCs w:val="32"/>
        </w:rPr>
        <w:t> 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b/>
          <w:bCs/>
          <w:color w:val="444444"/>
          <w:sz w:val="32"/>
          <w:szCs w:val="32"/>
        </w:rPr>
        <w:t>第一部分    概况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color w:val="444444"/>
          <w:sz w:val="32"/>
          <w:szCs w:val="32"/>
        </w:rPr>
        <w:t>一、主要职能</w:t>
      </w:r>
    </w:p>
    <w:p>
      <w:pPr>
        <w:widowControl/>
        <w:shd w:val="clear" w:color="auto" w:fill="FFFFFF"/>
        <w:wordWrap w:val="0"/>
        <w:spacing w:line="326" w:lineRule="atLeast"/>
        <w:ind w:firstLine="560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222222"/>
          <w:kern w:val="0"/>
          <w:sz w:val="28"/>
          <w:szCs w:val="28"/>
        </w:rPr>
        <w:t>1、认真贯彻执行党和国家的有关法律法规、方针、政策，</w:t>
      </w:r>
      <w:r>
        <w:rPr>
          <w:rFonts w:hint="eastAsia" w:ascii="宋体" w:hAnsi="宋体" w:eastAsia="宋体" w:cs="宋体"/>
          <w:color w:val="222222"/>
          <w:spacing w:val="15"/>
          <w:kern w:val="0"/>
          <w:sz w:val="28"/>
          <w:szCs w:val="28"/>
        </w:rPr>
        <w:t>坚持民主管理，依法办校，</w:t>
      </w:r>
      <w:r>
        <w:rPr>
          <w:rFonts w:hint="eastAsia" w:ascii="宋体" w:hAnsi="宋体" w:eastAsia="宋体" w:cs="宋体"/>
          <w:color w:val="222222"/>
          <w:kern w:val="0"/>
          <w:sz w:val="28"/>
          <w:szCs w:val="28"/>
        </w:rPr>
        <w:t>执行上级主管部门的指示和决定。</w:t>
      </w:r>
    </w:p>
    <w:p>
      <w:pPr>
        <w:widowControl/>
        <w:shd w:val="clear" w:color="auto" w:fill="FFFFFF"/>
        <w:wordWrap w:val="0"/>
        <w:spacing w:line="326" w:lineRule="atLeast"/>
        <w:ind w:firstLine="560"/>
        <w:jc w:val="lef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222222"/>
          <w:kern w:val="0"/>
          <w:sz w:val="28"/>
          <w:szCs w:val="28"/>
        </w:rPr>
        <w:t>2、实行安全和教育相结合的原则，</w:t>
      </w:r>
      <w:r>
        <w:rPr>
          <w:rFonts w:hint="eastAsia" w:ascii="宋体" w:hAnsi="宋体" w:eastAsia="宋体" w:cs="宋体"/>
          <w:color w:val="222222"/>
          <w:spacing w:val="15"/>
          <w:kern w:val="0"/>
          <w:sz w:val="28"/>
          <w:szCs w:val="28"/>
        </w:rPr>
        <w:t>对学生实施体、智、德、美诸方面全面发展的教育，促进其身心和谐发展。</w:t>
      </w:r>
      <w:r>
        <w:rPr>
          <w:rFonts w:hint="eastAsia" w:ascii="宋体" w:hAnsi="宋体" w:eastAsia="宋体" w:cs="宋体"/>
          <w:color w:val="222222"/>
          <w:kern w:val="0"/>
          <w:sz w:val="28"/>
          <w:szCs w:val="28"/>
        </w:rPr>
        <w:t>为家长解除后顾之忧，热忱为家长服务。</w:t>
      </w:r>
    </w:p>
    <w:p>
      <w:pPr>
        <w:widowControl/>
        <w:shd w:val="clear" w:color="auto" w:fill="FFFFFF"/>
        <w:wordWrap w:val="0"/>
        <w:spacing w:line="326" w:lineRule="atLeast"/>
        <w:ind w:firstLine="560"/>
        <w:jc w:val="lef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222222"/>
          <w:kern w:val="0"/>
          <w:sz w:val="28"/>
          <w:szCs w:val="28"/>
        </w:rPr>
        <w:t>3、尊重学生的人格尊严和基本权利，尊重学生身心发展的特点和规律，全面实施素质教育。</w:t>
      </w:r>
    </w:p>
    <w:p>
      <w:pPr>
        <w:widowControl/>
        <w:shd w:val="clear" w:color="auto" w:fill="FFFFFF"/>
        <w:wordWrap w:val="0"/>
        <w:spacing w:line="326" w:lineRule="atLeast"/>
        <w:ind w:firstLine="560"/>
        <w:jc w:val="lef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222222"/>
          <w:kern w:val="0"/>
          <w:sz w:val="28"/>
          <w:szCs w:val="28"/>
        </w:rPr>
        <w:t>4、严格执行学校安全、卫生保健制度，保证学生身心健康和生命安全。</w:t>
      </w:r>
    </w:p>
    <w:p>
      <w:pPr>
        <w:widowControl/>
        <w:shd w:val="clear" w:color="auto" w:fill="FFFFFF"/>
        <w:wordWrap w:val="0"/>
        <w:spacing w:line="326" w:lineRule="atLeast"/>
        <w:ind w:firstLine="560"/>
        <w:jc w:val="lef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222222"/>
          <w:kern w:val="0"/>
          <w:sz w:val="28"/>
          <w:szCs w:val="28"/>
        </w:rPr>
        <w:t> </w:t>
      </w:r>
    </w:p>
    <w:p>
      <w:pPr>
        <w:widowControl/>
        <w:shd w:val="clear" w:color="auto" w:fill="FFFFFF"/>
        <w:wordWrap w:val="0"/>
        <w:spacing w:line="326" w:lineRule="atLeast"/>
        <w:ind w:firstLine="560"/>
        <w:jc w:val="lef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222222"/>
          <w:kern w:val="0"/>
          <w:sz w:val="28"/>
          <w:szCs w:val="28"/>
        </w:rPr>
        <w:t>5、贯彻教育法规、传播科学教育理念、开展教育科学研究、培训师资。</w:t>
      </w:r>
    </w:p>
    <w:p>
      <w:pPr>
        <w:widowControl/>
        <w:shd w:val="clear" w:color="auto" w:fill="FFFFFF"/>
        <w:wordWrap w:val="0"/>
        <w:spacing w:line="326" w:lineRule="atLeast"/>
        <w:ind w:firstLine="560"/>
        <w:jc w:val="left"/>
        <w:rPr>
          <w:rFonts w:hint="eastAsia" w:ascii="微软雅黑" w:hAnsi="微软雅黑" w:eastAsia="微软雅黑" w:cs="宋体"/>
          <w:color w:val="222222"/>
          <w:kern w:val="0"/>
          <w:sz w:val="16"/>
          <w:szCs w:val="16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6、完成县委、县政府交办的其他临时性工作任务。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bookmarkStart w:id="0" w:name="_GoBack"/>
      <w:bookmarkEnd w:id="0"/>
      <w:r>
        <w:rPr>
          <w:rFonts w:hint="eastAsia"/>
          <w:color w:val="444444"/>
          <w:sz w:val="32"/>
          <w:szCs w:val="32"/>
        </w:rPr>
        <w:t>二、部门决算单位构成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ind w:firstLine="640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color w:val="444444"/>
          <w:sz w:val="32"/>
          <w:szCs w:val="32"/>
        </w:rPr>
        <w:t>永和县交口中心校部门决算只包括一个本级单位。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b/>
          <w:bCs/>
          <w:color w:val="444444"/>
          <w:sz w:val="32"/>
          <w:szCs w:val="32"/>
        </w:rPr>
        <w:t>第二部分   </w:t>
      </w:r>
      <w:r>
        <w:rPr>
          <w:rFonts w:hint="eastAsia" w:ascii="songti" w:hAnsi="songti"/>
          <w:b/>
          <w:bCs/>
          <w:color w:val="444444"/>
          <w:sz w:val="32"/>
          <w:szCs w:val="32"/>
        </w:rPr>
        <w:t>2016</w:t>
      </w:r>
      <w:r>
        <w:rPr>
          <w:rFonts w:hint="eastAsia"/>
          <w:b/>
          <w:bCs/>
          <w:color w:val="444444"/>
          <w:sz w:val="32"/>
          <w:szCs w:val="32"/>
        </w:rPr>
        <w:t>年度部门决算报表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b/>
          <w:bCs/>
          <w:color w:val="444444"/>
          <w:sz w:val="32"/>
          <w:szCs w:val="32"/>
        </w:rPr>
        <w:t>    </w:t>
      </w:r>
      <w:r>
        <w:rPr>
          <w:rFonts w:hint="eastAsia"/>
          <w:color w:val="444444"/>
          <w:sz w:val="32"/>
          <w:szCs w:val="32"/>
        </w:rPr>
        <w:t>本部门内容见附表</w:t>
      </w:r>
      <w:r>
        <w:rPr>
          <w:rFonts w:hint="eastAsia"/>
          <w:b/>
          <w:bCs/>
          <w:color w:val="444444"/>
          <w:sz w:val="32"/>
          <w:szCs w:val="32"/>
        </w:rPr>
        <w:t> </w:t>
      </w:r>
    </w:p>
    <w:p>
      <w:pPr>
        <w:pStyle w:val="4"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b/>
          <w:bCs/>
          <w:color w:val="444444"/>
          <w:sz w:val="32"/>
          <w:szCs w:val="32"/>
        </w:rPr>
        <w:t>第三部分   </w:t>
      </w:r>
      <w:r>
        <w:rPr>
          <w:rFonts w:hint="eastAsia" w:ascii="songti" w:hAnsi="songti"/>
          <w:b/>
          <w:bCs/>
          <w:color w:val="444444"/>
          <w:sz w:val="32"/>
          <w:szCs w:val="32"/>
        </w:rPr>
        <w:t>2016</w:t>
      </w:r>
      <w:r>
        <w:rPr>
          <w:rFonts w:hint="eastAsia"/>
          <w:b/>
          <w:bCs/>
          <w:color w:val="444444"/>
          <w:sz w:val="32"/>
          <w:szCs w:val="32"/>
        </w:rPr>
        <w:t>年度部门决算情况说明</w:t>
      </w:r>
    </w:p>
    <w:p>
      <w:pPr>
        <w:pStyle w:val="4"/>
        <w:shd w:val="clear" w:color="auto" w:fill="FFFFFF"/>
        <w:spacing w:before="0" w:beforeAutospacing="0" w:after="0" w:afterAutospacing="0" w:line="245" w:lineRule="atLeast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color w:val="444444"/>
          <w:sz w:val="32"/>
          <w:szCs w:val="32"/>
        </w:rPr>
        <w:t>    2016年，我校按照科学发展观和构建和谐社会的要求，认真贯彻县委、县政府的安排部署，积极适应国家公共财政体制改革的要求，做好新形势下的经费保障工作，切实抓好资金的收支计划管理，努力增收节支，强化预算约束，部门决算实现收支基本平衡。</w:t>
      </w:r>
    </w:p>
    <w:p>
      <w:pPr>
        <w:pStyle w:val="4"/>
        <w:shd w:val="clear" w:color="auto" w:fill="FFFFFF"/>
        <w:spacing w:before="0" w:beforeAutospacing="0" w:after="0" w:afterAutospacing="0" w:line="245" w:lineRule="atLeast"/>
        <w:ind w:firstLine="640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color w:val="444444"/>
          <w:sz w:val="32"/>
          <w:szCs w:val="32"/>
        </w:rPr>
        <w:t>（一）收入支出结构说明</w:t>
      </w:r>
    </w:p>
    <w:p>
      <w:pPr>
        <w:pStyle w:val="4"/>
        <w:shd w:val="clear" w:color="auto" w:fill="FFFFFF"/>
        <w:spacing w:before="0" w:beforeAutospacing="0" w:after="0" w:afterAutospacing="0" w:line="245" w:lineRule="atLeast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color w:val="444444"/>
          <w:sz w:val="32"/>
          <w:szCs w:val="32"/>
        </w:rPr>
        <w:t>  1、一般预算财政拨款收入</w:t>
      </w:r>
      <w:r>
        <w:rPr>
          <w:rFonts w:ascii="songti" w:hAnsi="songti"/>
          <w:color w:val="444444"/>
          <w:sz w:val="32"/>
          <w:szCs w:val="32"/>
        </w:rPr>
        <w:t>2,304,043.40</w:t>
      </w:r>
      <w:r>
        <w:rPr>
          <w:rFonts w:hint="eastAsia"/>
          <w:color w:val="444444"/>
          <w:sz w:val="32"/>
          <w:szCs w:val="32"/>
        </w:rPr>
        <w:t>元。</w:t>
      </w:r>
      <w:r>
        <w:rPr>
          <w:rFonts w:hint="eastAsia" w:ascii="宋体" w:hAnsi="宋体" w:eastAsia="宋体" w:cs="宋体"/>
          <w:color w:val="222222"/>
          <w:kern w:val="0"/>
          <w:sz w:val="28"/>
          <w:szCs w:val="28"/>
          <w:lang w:eastAsia="zh-CN"/>
        </w:rPr>
        <w:t>较上年增加。</w:t>
      </w:r>
      <w:r>
        <w:rPr>
          <w:rFonts w:hint="eastAsia"/>
          <w:color w:val="444444"/>
          <w:sz w:val="32"/>
          <w:szCs w:val="32"/>
        </w:rPr>
        <w:t>年度支出</w:t>
      </w:r>
      <w:r>
        <w:rPr>
          <w:rFonts w:ascii="songti" w:hAnsi="songti"/>
          <w:color w:val="444444"/>
          <w:sz w:val="32"/>
          <w:szCs w:val="32"/>
        </w:rPr>
        <w:t>2,213,686.18</w:t>
      </w:r>
      <w:r>
        <w:rPr>
          <w:rFonts w:hint="eastAsia"/>
          <w:color w:val="444444"/>
          <w:sz w:val="32"/>
          <w:szCs w:val="32"/>
        </w:rPr>
        <w:t>元，</w:t>
      </w:r>
      <w:r>
        <w:rPr>
          <w:rFonts w:hint="eastAsia" w:ascii="宋体" w:hAnsi="宋体" w:eastAsia="宋体" w:cs="宋体"/>
          <w:color w:val="222222"/>
          <w:kern w:val="0"/>
          <w:sz w:val="28"/>
          <w:szCs w:val="28"/>
          <w:lang w:eastAsia="zh-CN"/>
        </w:rPr>
        <w:t>较上年增加。</w:t>
      </w:r>
      <w:r>
        <w:rPr>
          <w:rFonts w:hint="eastAsia"/>
          <w:color w:val="444444"/>
          <w:sz w:val="32"/>
          <w:szCs w:val="32"/>
        </w:rPr>
        <w:t>其中：工资福利支出</w:t>
      </w:r>
      <w:r>
        <w:rPr>
          <w:rFonts w:ascii="songti" w:hAnsi="songti"/>
          <w:color w:val="444444"/>
          <w:sz w:val="32"/>
          <w:szCs w:val="32"/>
        </w:rPr>
        <w:t>1,787,844.42</w:t>
      </w:r>
      <w:r>
        <w:rPr>
          <w:rFonts w:hint="eastAsia"/>
          <w:color w:val="444444"/>
          <w:sz w:val="32"/>
          <w:szCs w:val="32"/>
        </w:rPr>
        <w:t>元，商品和服务支出</w:t>
      </w:r>
      <w:r>
        <w:rPr>
          <w:rFonts w:ascii="songti" w:hAnsi="songti"/>
          <w:color w:val="444444"/>
          <w:sz w:val="32"/>
          <w:szCs w:val="32"/>
        </w:rPr>
        <w:t>117,563.76</w:t>
      </w:r>
      <w:r>
        <w:rPr>
          <w:rFonts w:hint="eastAsia"/>
          <w:color w:val="444444"/>
          <w:sz w:val="32"/>
          <w:szCs w:val="32"/>
        </w:rPr>
        <w:t>元，对个人和家庭的补助</w:t>
      </w:r>
      <w:r>
        <w:rPr>
          <w:rFonts w:ascii="songti" w:hAnsi="songti"/>
          <w:color w:val="444444"/>
          <w:sz w:val="32"/>
          <w:szCs w:val="32"/>
        </w:rPr>
        <w:t>93,872.00</w:t>
      </w:r>
      <w:r>
        <w:rPr>
          <w:rFonts w:hint="eastAsia"/>
          <w:color w:val="444444"/>
          <w:sz w:val="32"/>
          <w:szCs w:val="32"/>
        </w:rPr>
        <w:t>元。基本支出结转</w:t>
      </w:r>
      <w:r>
        <w:rPr>
          <w:rFonts w:ascii="songti" w:hAnsi="songti"/>
          <w:color w:val="444444"/>
          <w:sz w:val="32"/>
          <w:szCs w:val="32"/>
        </w:rPr>
        <w:t>189,940.22</w:t>
      </w:r>
      <w:r>
        <w:rPr>
          <w:rFonts w:hint="eastAsia"/>
          <w:color w:val="444444"/>
          <w:sz w:val="32"/>
          <w:szCs w:val="32"/>
        </w:rPr>
        <w:t>元。</w:t>
      </w:r>
      <w:r>
        <w:rPr>
          <w:rFonts w:hint="eastAsia"/>
          <w:color w:val="444444"/>
          <w:sz w:val="32"/>
          <w:szCs w:val="32"/>
          <w:lang w:eastAsia="zh-CN"/>
        </w:rPr>
        <w:t>行政运行</w:t>
      </w:r>
      <w:r>
        <w:rPr>
          <w:rFonts w:hint="eastAsia"/>
          <w:color w:val="444444"/>
          <w:sz w:val="32"/>
          <w:szCs w:val="32"/>
          <w:lang w:val="en-US" w:eastAsia="zh-CN"/>
        </w:rPr>
        <w:t>174133元</w:t>
      </w:r>
    </w:p>
    <w:p>
      <w:pPr>
        <w:pStyle w:val="4"/>
        <w:shd w:val="clear" w:color="auto" w:fill="FFFFFF"/>
        <w:spacing w:before="0" w:beforeAutospacing="0" w:after="0" w:afterAutospacing="0" w:line="245" w:lineRule="atLeast"/>
        <w:ind w:firstLine="640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color w:val="444444"/>
          <w:sz w:val="32"/>
          <w:szCs w:val="32"/>
        </w:rPr>
        <w:t>（二）“三公经费”支出说明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222222"/>
          <w:kern w:val="0"/>
          <w:sz w:val="30"/>
          <w:szCs w:val="30"/>
          <w:lang w:val="en-US" w:eastAsia="zh-CN" w:bidi="ar"/>
        </w:rPr>
      </w:pPr>
      <w:r>
        <w:rPr>
          <w:rFonts w:hint="eastAsia"/>
          <w:color w:val="444444"/>
          <w:sz w:val="32"/>
          <w:szCs w:val="32"/>
        </w:rPr>
        <w:t>    我校无“三公经费”支出情况。</w:t>
      </w:r>
      <w:r>
        <w:rPr>
          <w:rFonts w:hint="eastAsia" w:ascii="Times New Roman" w:hAnsi="Times New Roman" w:eastAsia="仿宋_GB2312" w:cs="Times New Roman"/>
          <w:color w:val="222222"/>
          <w:kern w:val="0"/>
          <w:sz w:val="30"/>
          <w:szCs w:val="30"/>
          <w:lang w:val="en-US" w:eastAsia="zh-CN" w:bidi="ar"/>
        </w:rPr>
        <w:t>上年无三公经费。无增减变化。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 w:bidi="ar"/>
        </w:rPr>
        <w:t>我单位没有因公出国出境人员及购车，没有产生费用。</w:t>
      </w:r>
    </w:p>
    <w:p>
      <w:pPr>
        <w:pStyle w:val="4"/>
        <w:shd w:val="clear" w:color="auto" w:fill="FFFFFF"/>
        <w:spacing w:before="0" w:beforeAutospacing="0" w:after="0" w:afterAutospacing="0" w:line="245" w:lineRule="atLeast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b/>
          <w:bCs/>
          <w:color w:val="444444"/>
          <w:sz w:val="32"/>
          <w:szCs w:val="32"/>
        </w:rPr>
        <w:t>  </w:t>
      </w:r>
    </w:p>
    <w:p>
      <w:pPr>
        <w:pStyle w:val="4"/>
        <w:shd w:val="clear" w:color="auto" w:fill="FFFFFF"/>
        <w:spacing w:before="0" w:beforeAutospacing="0" w:after="0" w:afterAutospacing="0" w:line="245" w:lineRule="atLeast"/>
        <w:jc w:val="both"/>
        <w:rPr>
          <w:rFonts w:hint="eastAsia" w:ascii="微软雅黑" w:hAnsi="微软雅黑" w:eastAsia="微软雅黑"/>
          <w:color w:val="222222"/>
          <w:sz w:val="16"/>
          <w:szCs w:val="16"/>
        </w:rPr>
      </w:pPr>
      <w:r>
        <w:rPr>
          <w:rFonts w:hint="eastAsia"/>
          <w:b/>
          <w:bCs/>
          <w:color w:val="444444"/>
          <w:sz w:val="32"/>
          <w:szCs w:val="32"/>
        </w:rPr>
        <w:t> </w:t>
      </w:r>
    </w:p>
    <w:p>
      <w:pPr>
        <w:widowControl/>
        <w:numPr>
          <w:ilvl w:val="0"/>
          <w:numId w:val="1"/>
        </w:numPr>
        <w:spacing w:line="640" w:lineRule="exact"/>
        <w:jc w:val="center"/>
        <w:rPr>
          <w:rFonts w:hint="eastAsia" w:ascii="黑体" w:hAnsi="黑体" w:eastAsia="黑体" w:cs="宋体"/>
          <w:bCs/>
          <w:kern w:val="0"/>
          <w:sz w:val="36"/>
          <w:szCs w:val="36"/>
          <w:lang w:eastAsia="zh-CN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分</w:t>
      </w:r>
      <w:r>
        <w:rPr>
          <w:rFonts w:hint="eastAsia" w:ascii="黑体" w:hAnsi="黑体" w:eastAsia="黑体" w:cs="宋体"/>
          <w:bCs/>
          <w:kern w:val="0"/>
          <w:sz w:val="36"/>
          <w:szCs w:val="36"/>
        </w:rPr>
        <w:t xml:space="preserve">   </w:t>
      </w:r>
      <w:r>
        <w:rPr>
          <w:rFonts w:hint="eastAsia" w:ascii="黑体" w:hAnsi="黑体" w:eastAsia="黑体" w:cs="宋体"/>
          <w:bCs/>
          <w:kern w:val="0"/>
          <w:sz w:val="36"/>
          <w:szCs w:val="36"/>
          <w:lang w:eastAsia="zh-CN"/>
        </w:rPr>
        <w:t>政府采购</w:t>
      </w:r>
    </w:p>
    <w:p>
      <w:pPr>
        <w:widowControl/>
        <w:numPr>
          <w:ilvl w:val="0"/>
          <w:numId w:val="0"/>
        </w:numPr>
        <w:spacing w:line="640" w:lineRule="exact"/>
        <w:jc w:val="both"/>
        <w:rPr>
          <w:rFonts w:hint="eastAsia" w:ascii="黑体" w:hAnsi="黑体" w:eastAsia="黑体" w:cs="宋体"/>
          <w:bCs/>
          <w:kern w:val="0"/>
          <w:sz w:val="36"/>
          <w:szCs w:val="36"/>
          <w:lang w:eastAsia="zh-CN"/>
        </w:rPr>
      </w:pPr>
    </w:p>
    <w:p>
      <w:pPr>
        <w:widowControl/>
        <w:spacing w:line="640" w:lineRule="exact"/>
        <w:ind w:firstLine="640" w:firstLineChars="200"/>
        <w:rPr>
          <w:rFonts w:hint="eastAsia"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无。</w:t>
      </w:r>
    </w:p>
    <w:p>
      <w:pPr>
        <w:widowControl/>
        <w:spacing w:line="640" w:lineRule="exact"/>
        <w:jc w:val="center"/>
        <w:rPr>
          <w:rFonts w:hint="eastAsia"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第</w:t>
      </w:r>
      <w:r>
        <w:rPr>
          <w:rFonts w:hint="eastAsia" w:ascii="黑体" w:hAnsi="宋体" w:eastAsia="黑体" w:cs="宋体"/>
          <w:bCs/>
          <w:kern w:val="0"/>
          <w:sz w:val="36"/>
          <w:szCs w:val="36"/>
          <w:lang w:eastAsia="zh-CN"/>
        </w:rPr>
        <w:t>五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部分</w:t>
      </w:r>
      <w:r>
        <w:rPr>
          <w:rFonts w:hint="eastAsia" w:ascii="黑体" w:hAnsi="黑体" w:eastAsia="黑体" w:cs="宋体"/>
          <w:bCs/>
          <w:kern w:val="0"/>
          <w:sz w:val="36"/>
          <w:szCs w:val="36"/>
        </w:rPr>
        <w:t xml:space="preserve">   </w:t>
      </w:r>
      <w:r>
        <w:rPr>
          <w:rFonts w:hint="eastAsia" w:ascii="黑体" w:hAnsi="宋体" w:eastAsia="黑体" w:cs="宋体"/>
          <w:bCs/>
          <w:kern w:val="0"/>
          <w:sz w:val="36"/>
          <w:szCs w:val="36"/>
        </w:rPr>
        <w:t>名词解释</w:t>
      </w:r>
    </w:p>
    <w:p>
      <w:pPr>
        <w:widowControl/>
        <w:spacing w:line="640" w:lineRule="exact"/>
        <w:ind w:firstLine="640" w:firstLineChars="200"/>
        <w:rPr>
          <w:rFonts w:hint="eastAsia"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无。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ongt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FD2D9"/>
    <w:multiLevelType w:val="singleLevel"/>
    <w:tmpl w:val="59FFD2D9"/>
    <w:lvl w:ilvl="0" w:tentative="0">
      <w:start w:val="4"/>
      <w:numFmt w:val="chineseCounting"/>
      <w:suff w:val="nothing"/>
      <w:lvlText w:val="第%1部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7CA9"/>
    <w:rsid w:val="00C7589E"/>
    <w:rsid w:val="00E27CA9"/>
    <w:rsid w:val="04EC2155"/>
    <w:rsid w:val="22D246E6"/>
    <w:rsid w:val="2FC3349F"/>
    <w:rsid w:val="3686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72</Words>
  <Characters>413</Characters>
  <Lines>3</Lines>
  <Paragraphs>1</Paragraphs>
  <TotalTime>0</TotalTime>
  <ScaleCrop>false</ScaleCrop>
  <LinksUpToDate>false</LinksUpToDate>
  <CharactersWithSpaces>484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2017-09-21T01:20:00Z</dcterms:created>
  <dc:creator>dreamsummit</dc:creator>
  <cp:lastModifiedBy>Administrator</cp:lastModifiedBy>
  <dcterms:modified xsi:type="dcterms:W3CDTF">2018-11-16T08:23:59Z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