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18" w:lineRule="atLeast"/>
        <w:jc w:val="center"/>
        <w:rPr>
          <w:rFonts w:ascii="黑体" w:hAnsi="Helvetica" w:eastAsia="黑体" w:cs="黑体"/>
          <w:color w:val="000000"/>
          <w:kern w:val="0"/>
          <w:sz w:val="44"/>
          <w:szCs w:val="44"/>
          <w:lang w:bidi="ar"/>
        </w:rPr>
      </w:pPr>
      <w:r>
        <w:rPr>
          <w:rFonts w:ascii="黑体" w:hAnsi="Helvetica" w:eastAsia="黑体" w:cs="黑体"/>
          <w:color w:val="000000"/>
          <w:kern w:val="0"/>
          <w:sz w:val="44"/>
          <w:szCs w:val="44"/>
          <w:lang w:bidi="ar"/>
        </w:rPr>
        <w:t>永和县</w:t>
      </w:r>
      <w:r>
        <w:rPr>
          <w:rFonts w:hint="eastAsia" w:ascii="黑体" w:hAnsi="Helvetica" w:eastAsia="黑体" w:cs="黑体"/>
          <w:color w:val="000000"/>
          <w:kern w:val="0"/>
          <w:sz w:val="44"/>
          <w:szCs w:val="44"/>
          <w:lang w:bidi="ar"/>
        </w:rPr>
        <w:t>城市居民管理委员会</w:t>
      </w:r>
    </w:p>
    <w:p>
      <w:pPr>
        <w:widowControl/>
        <w:spacing w:line="318" w:lineRule="atLeast"/>
        <w:jc w:val="center"/>
        <w:rPr>
          <w:rFonts w:ascii="Helvetica" w:hAnsi="Helvetica" w:eastAsia="Helvetica" w:cs="Helvetica"/>
          <w:color w:val="000000"/>
          <w:szCs w:val="21"/>
        </w:rPr>
      </w:pPr>
      <w:r>
        <w:rPr>
          <w:rFonts w:hint="eastAsia" w:ascii="黑体" w:hAnsi="Helvetica" w:eastAsia="黑体" w:cs="黑体"/>
          <w:color w:val="000000"/>
          <w:kern w:val="0"/>
          <w:sz w:val="44"/>
          <w:szCs w:val="44"/>
          <w:lang w:bidi="ar"/>
        </w:rPr>
        <w:t>2017年度部门预算情况说明</w:t>
      </w:r>
    </w:p>
    <w:p>
      <w:pPr>
        <w:widowControl/>
        <w:spacing w:line="318" w:lineRule="atLeast"/>
        <w:jc w:val="left"/>
        <w:rPr>
          <w:rFonts w:ascii="Helvetica" w:hAnsi="Helvetica" w:eastAsia="Helvetica" w:cs="Helvetica"/>
          <w:color w:val="000000"/>
          <w:szCs w:val="21"/>
        </w:rPr>
      </w:pPr>
      <w:r>
        <w:rPr>
          <w:rFonts w:hint="eastAsia" w:ascii="宋体" w:hAnsi="宋体" w:eastAsia="宋体" w:cs="宋体"/>
          <w:color w:val="000000"/>
          <w:kern w:val="0"/>
          <w:sz w:val="32"/>
          <w:szCs w:val="32"/>
          <w:lang w:bidi="ar"/>
        </w:rPr>
        <w:t> </w:t>
      </w:r>
    </w:p>
    <w:p>
      <w:pPr>
        <w:widowControl/>
        <w:spacing w:line="318" w:lineRule="atLeast"/>
        <w:ind w:firstLine="1760"/>
        <w:jc w:val="left"/>
        <w:rPr>
          <w:rFonts w:hint="eastAsia" w:ascii="仿宋" w:hAnsi="仿宋" w:eastAsia="仿宋" w:cs="仿宋"/>
          <w:color w:val="000000"/>
          <w:kern w:val="0"/>
          <w:sz w:val="32"/>
          <w:szCs w:val="32"/>
          <w:lang w:bidi="ar"/>
        </w:rPr>
      </w:pPr>
      <w:r>
        <w:rPr>
          <w:rFonts w:hint="eastAsia" w:ascii="仿宋" w:hAnsi="仿宋" w:eastAsia="仿宋" w:cs="仿宋"/>
          <w:color w:val="000000"/>
          <w:kern w:val="0"/>
          <w:sz w:val="32"/>
          <w:szCs w:val="32"/>
          <w:lang w:bidi="ar"/>
        </w:rPr>
        <w:t>第一部分    概  况</w:t>
      </w:r>
    </w:p>
    <w:p>
      <w:pPr>
        <w:widowControl/>
        <w:spacing w:line="318" w:lineRule="atLeast"/>
        <w:ind w:firstLine="643" w:firstLineChars="200"/>
        <w:jc w:val="left"/>
        <w:rPr>
          <w:rFonts w:hint="eastAsia" w:ascii="仿宋" w:hAnsi="仿宋" w:eastAsia="仿宋" w:cs="仿宋"/>
          <w:b/>
          <w:bCs/>
          <w:sz w:val="32"/>
          <w:szCs w:val="32"/>
        </w:rPr>
      </w:pPr>
      <w:r>
        <w:rPr>
          <w:rFonts w:hint="eastAsia" w:ascii="仿宋" w:hAnsi="仿宋" w:eastAsia="仿宋" w:cs="仿宋"/>
          <w:b/>
          <w:bCs/>
          <w:sz w:val="32"/>
          <w:szCs w:val="32"/>
        </w:rPr>
        <w:t>一、主要职能</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1、宣传和执行党的路线、方针、政策和国家的法律、法规，开展多种形式的社会主义精神文明建设活动。</w:t>
      </w:r>
    </w:p>
    <w:p>
      <w:pPr>
        <w:rPr>
          <w:rFonts w:hint="eastAsia" w:ascii="仿宋" w:hAnsi="仿宋" w:eastAsia="仿宋" w:cs="仿宋"/>
          <w:sz w:val="32"/>
          <w:szCs w:val="32"/>
        </w:rPr>
      </w:pPr>
      <w:r>
        <w:rPr>
          <w:rFonts w:hint="eastAsia" w:ascii="仿宋" w:hAnsi="仿宋" w:eastAsia="仿宋" w:cs="仿宋"/>
          <w:sz w:val="32"/>
          <w:szCs w:val="32"/>
        </w:rPr>
        <w:t xml:space="preserve">   2、依法参与城区建设和管理，协助搞好城市规划管理、市容环境卫生管理、城市防灾等工作。</w:t>
      </w:r>
    </w:p>
    <w:p>
      <w:pPr>
        <w:rPr>
          <w:rFonts w:hint="eastAsia" w:ascii="仿宋" w:hAnsi="仿宋" w:eastAsia="仿宋" w:cs="仿宋"/>
          <w:sz w:val="32"/>
          <w:szCs w:val="32"/>
        </w:rPr>
      </w:pPr>
      <w:r>
        <w:rPr>
          <w:rFonts w:hint="eastAsia" w:ascii="仿宋" w:hAnsi="仿宋" w:eastAsia="仿宋" w:cs="仿宋"/>
          <w:sz w:val="32"/>
          <w:szCs w:val="32"/>
        </w:rPr>
        <w:t xml:space="preserve">   3、加强社会治安综合治理，做好外来人口管理、青少年教育和武装工作，维护社会安定。</w:t>
      </w:r>
    </w:p>
    <w:p>
      <w:pPr>
        <w:rPr>
          <w:rFonts w:hint="eastAsia" w:ascii="仿宋" w:hAnsi="仿宋" w:eastAsia="仿宋" w:cs="仿宋"/>
          <w:sz w:val="32"/>
          <w:szCs w:val="32"/>
        </w:rPr>
      </w:pPr>
      <w:r>
        <w:rPr>
          <w:rFonts w:hint="eastAsia" w:ascii="仿宋" w:hAnsi="仿宋" w:eastAsia="仿宋" w:cs="仿宋"/>
          <w:sz w:val="32"/>
          <w:szCs w:val="32"/>
        </w:rPr>
        <w:t xml:space="preserve">   4、加强对社区流动人口、暂住人口的管理和登记，搞好计划生育工作。</w:t>
      </w:r>
    </w:p>
    <w:p>
      <w:pPr>
        <w:rPr>
          <w:rFonts w:hint="eastAsia" w:ascii="仿宋" w:hAnsi="仿宋" w:eastAsia="仿宋" w:cs="仿宋"/>
          <w:sz w:val="32"/>
          <w:szCs w:val="32"/>
        </w:rPr>
      </w:pPr>
      <w:r>
        <w:rPr>
          <w:rFonts w:hint="eastAsia" w:ascii="仿宋" w:hAnsi="仿宋" w:eastAsia="仿宋" w:cs="仿宋"/>
          <w:sz w:val="32"/>
          <w:szCs w:val="32"/>
        </w:rPr>
        <w:t xml:space="preserve">   5、做好拥军优属和社会救济等基层社会保障工作，维护老人、妇女、儿童和残疾人的合法权益。</w:t>
      </w:r>
    </w:p>
    <w:p>
      <w:pPr>
        <w:rPr>
          <w:rFonts w:hint="eastAsia" w:ascii="仿宋" w:hAnsi="仿宋" w:eastAsia="仿宋" w:cs="仿宋"/>
          <w:sz w:val="32"/>
          <w:szCs w:val="32"/>
        </w:rPr>
      </w:pPr>
      <w:r>
        <w:rPr>
          <w:rFonts w:hint="eastAsia" w:ascii="仿宋" w:hAnsi="仿宋" w:eastAsia="仿宋" w:cs="仿宋"/>
          <w:sz w:val="32"/>
          <w:szCs w:val="32"/>
        </w:rPr>
        <w:t xml:space="preserve">   6、负责社区低保、医保、养老保险、廉租住房等工作。</w:t>
      </w:r>
    </w:p>
    <w:p>
      <w:pPr>
        <w:rPr>
          <w:rFonts w:hint="eastAsia" w:ascii="仿宋" w:hAnsi="仿宋" w:eastAsia="仿宋" w:cs="仿宋"/>
          <w:sz w:val="32"/>
          <w:szCs w:val="32"/>
        </w:rPr>
      </w:pPr>
      <w:r>
        <w:rPr>
          <w:rFonts w:hint="eastAsia" w:ascii="仿宋" w:hAnsi="仿宋" w:eastAsia="仿宋" w:cs="仿宋"/>
          <w:sz w:val="32"/>
          <w:szCs w:val="32"/>
        </w:rPr>
        <w:t xml:space="preserve">   7、指导社区居委会工作，帮助社区居委会解决实际困难，及时向政府反映居民的意见和要求，处理群众来信来访。</w:t>
      </w:r>
    </w:p>
    <w:p>
      <w:pPr>
        <w:pStyle w:val="2"/>
        <w:keepNext w:val="0"/>
        <w:keepLines w:val="0"/>
        <w:pageBreakBefore w:val="0"/>
        <w:widowControl/>
        <w:suppressLineNumbers w:val="0"/>
        <w:kinsoku/>
        <w:wordWrap/>
        <w:overflowPunct/>
        <w:topLinePunct w:val="0"/>
        <w:autoSpaceDE/>
        <w:autoSpaceDN/>
        <w:bidi w:val="0"/>
        <w:adjustRightInd/>
        <w:snapToGrid/>
        <w:spacing w:before="0" w:after="0" w:line="56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8、承办上级交办的其它工作。</w:t>
      </w:r>
    </w:p>
    <w:p>
      <w:pPr>
        <w:pStyle w:val="2"/>
        <w:keepNext w:val="0"/>
        <w:keepLines w:val="0"/>
        <w:pageBreakBefore w:val="0"/>
        <w:widowControl/>
        <w:suppressLineNumbers w:val="0"/>
        <w:kinsoku/>
        <w:wordWrap/>
        <w:overflowPunct/>
        <w:topLinePunct w:val="0"/>
        <w:autoSpaceDE/>
        <w:autoSpaceDN/>
        <w:bidi w:val="0"/>
        <w:adjustRightInd/>
        <w:snapToGrid/>
        <w:spacing w:before="0" w:after="0" w:line="560" w:lineRule="exact"/>
        <w:ind w:left="0" w:leftChars="0" w:right="0" w:rightChars="0" w:firstLine="640" w:firstLineChars="200"/>
        <w:jc w:val="both"/>
        <w:textAlignment w:val="auto"/>
        <w:outlineLvl w:val="9"/>
        <w:rPr>
          <w:rFonts w:hint="eastAsia" w:ascii="仿宋" w:hAnsi="仿宋" w:eastAsia="仿宋" w:cs="仿宋"/>
          <w:b/>
          <w:bCs/>
          <w:color w:val="222222"/>
          <w:spacing w:val="10"/>
          <w:kern w:val="0"/>
          <w:sz w:val="32"/>
          <w:szCs w:val="32"/>
        </w:rPr>
      </w:pPr>
      <w:r>
        <w:rPr>
          <w:rFonts w:hint="eastAsia" w:ascii="仿宋" w:hAnsi="仿宋" w:eastAsia="仿宋" w:cs="仿宋"/>
          <w:sz w:val="32"/>
          <w:szCs w:val="32"/>
          <w:lang w:eastAsia="zh-CN"/>
        </w:rPr>
        <w:t>二、</w:t>
      </w:r>
      <w:r>
        <w:rPr>
          <w:rFonts w:hint="eastAsia" w:ascii="仿宋" w:hAnsi="仿宋" w:eastAsia="仿宋" w:cs="仿宋"/>
          <w:b/>
          <w:bCs/>
          <w:color w:val="222222"/>
          <w:spacing w:val="10"/>
          <w:kern w:val="0"/>
          <w:sz w:val="32"/>
          <w:szCs w:val="32"/>
        </w:rPr>
        <w:t>部门预算单位构成</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uto"/>
        <w:ind w:left="0" w:right="0" w:firstLine="640" w:firstLineChars="200"/>
        <w:jc w:val="both"/>
        <w:rPr>
          <w:rFonts w:hint="eastAsia" w:ascii="仿宋" w:hAnsi="仿宋" w:eastAsia="仿宋" w:cs="仿宋"/>
          <w:sz w:val="32"/>
          <w:szCs w:val="32"/>
        </w:rPr>
      </w:pPr>
      <w:r>
        <w:rPr>
          <w:rFonts w:hint="eastAsia" w:ascii="仿宋_GB2312" w:hAnsi="仿宋_GB2312" w:eastAsia="仿宋_GB2312" w:cs="仿宋_GB2312"/>
          <w:color w:val="000000" w:themeColor="text1"/>
          <w:kern w:val="0"/>
          <w:sz w:val="32"/>
          <w:szCs w:val="32"/>
          <w:lang w:val="en-US" w:eastAsia="zh-CN" w:bidi="ar"/>
          <w14:textFill>
            <w14:solidFill>
              <w14:schemeClr w14:val="tx1"/>
            </w14:solidFill>
          </w14:textFill>
        </w:rPr>
        <w:t>永和县城市居民管理委员会部门预算包括四个社区（朝阳社区、康谐社区、莲花社区、滨河社区）。</w:t>
      </w:r>
    </w:p>
    <w:p>
      <w:pPr>
        <w:widowControl/>
        <w:jc w:val="center"/>
        <w:rPr>
          <w:rFonts w:hint="eastAsia" w:ascii="仿宋" w:hAnsi="仿宋" w:eastAsia="仿宋" w:cs="仿宋"/>
          <w:kern w:val="0"/>
          <w:sz w:val="32"/>
          <w:szCs w:val="32"/>
        </w:rPr>
      </w:pPr>
      <w:r>
        <w:rPr>
          <w:rFonts w:hint="eastAsia" w:ascii="仿宋" w:hAnsi="仿宋" w:eastAsia="仿宋" w:cs="仿宋"/>
          <w:b/>
          <w:bCs/>
          <w:kern w:val="0"/>
          <w:sz w:val="32"/>
          <w:szCs w:val="32"/>
        </w:rPr>
        <w:t>第二部分  2017年度部门预算报表</w:t>
      </w:r>
    </w:p>
    <w:p>
      <w:pPr>
        <w:widowControl/>
        <w:ind w:firstLine="800" w:firstLineChars="250"/>
        <w:rPr>
          <w:rFonts w:hint="eastAsia" w:ascii="仿宋" w:hAnsi="仿宋" w:eastAsia="仿宋" w:cs="仿宋"/>
          <w:sz w:val="32"/>
          <w:szCs w:val="32"/>
        </w:rPr>
      </w:pPr>
      <w:r>
        <w:rPr>
          <w:rFonts w:hint="eastAsia" w:ascii="仿宋" w:hAnsi="仿宋" w:eastAsia="仿宋" w:cs="仿宋"/>
          <w:sz w:val="32"/>
          <w:szCs w:val="32"/>
        </w:rPr>
        <w:t>此部分内容见附表.</w:t>
      </w:r>
    </w:p>
    <w:p>
      <w:pPr>
        <w:widowControl/>
        <w:spacing w:line="318" w:lineRule="atLeast"/>
        <w:ind w:firstLine="1280"/>
        <w:jc w:val="left"/>
        <w:rPr>
          <w:rFonts w:hint="eastAsia" w:ascii="仿宋" w:hAnsi="仿宋" w:eastAsia="仿宋" w:cs="仿宋"/>
          <w:b/>
          <w:bCs/>
          <w:color w:val="000000"/>
          <w:szCs w:val="21"/>
        </w:rPr>
      </w:pPr>
      <w:r>
        <w:rPr>
          <w:rFonts w:hint="eastAsia" w:ascii="仿宋" w:hAnsi="仿宋" w:eastAsia="仿宋" w:cs="仿宋"/>
          <w:b/>
          <w:bCs/>
          <w:color w:val="000000"/>
          <w:kern w:val="0"/>
          <w:sz w:val="32"/>
          <w:szCs w:val="32"/>
          <w:lang w:bidi="ar"/>
        </w:rPr>
        <w:t>第三部分    2017年度部门预算情况</w:t>
      </w:r>
    </w:p>
    <w:p>
      <w:pPr>
        <w:pStyle w:val="2"/>
        <w:widowControl/>
        <w:spacing w:line="318" w:lineRule="atLeast"/>
        <w:ind w:left="360" w:firstLine="320"/>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1、2017年度部门预算数据变动情况及原因</w:t>
      </w:r>
    </w:p>
    <w:p>
      <w:pPr>
        <w:pStyle w:val="2"/>
        <w:widowControl/>
        <w:spacing w:line="318" w:lineRule="atLeast"/>
        <w:ind w:left="360" w:firstLine="320"/>
        <w:rPr>
          <w:rFonts w:hint="eastAsia" w:ascii="仿宋" w:hAnsi="仿宋" w:eastAsia="仿宋" w:cs="仿宋"/>
          <w:color w:val="000000"/>
          <w:sz w:val="21"/>
          <w:szCs w:val="21"/>
        </w:rPr>
      </w:pPr>
      <w:r>
        <w:rPr>
          <w:rFonts w:hint="eastAsia" w:ascii="仿宋" w:hAnsi="仿宋" w:eastAsia="仿宋" w:cs="仿宋"/>
          <w:color w:val="000000"/>
          <w:kern w:val="0"/>
          <w:sz w:val="32"/>
          <w:szCs w:val="32"/>
          <w:lang w:eastAsia="zh-CN" w:bidi="ar"/>
        </w:rPr>
        <w:t>永和县城管委</w:t>
      </w:r>
      <w:r>
        <w:rPr>
          <w:rFonts w:hint="eastAsia" w:ascii="仿宋" w:hAnsi="仿宋" w:eastAsia="仿宋" w:cs="仿宋"/>
          <w:color w:val="000000"/>
          <w:kern w:val="0"/>
          <w:sz w:val="32"/>
          <w:szCs w:val="32"/>
          <w:lang w:val="en-US" w:eastAsia="zh-CN" w:bidi="ar"/>
        </w:rPr>
        <w:t>2017年部门财政预算305.92万元，比2016年预算增加233.57万元，增长76%，原因是2017年增加了项目。</w:t>
      </w:r>
    </w:p>
    <w:p>
      <w:pPr>
        <w:pStyle w:val="2"/>
        <w:widowControl/>
        <w:numPr>
          <w:ilvl w:val="0"/>
          <w:numId w:val="1"/>
        </w:numPr>
        <w:spacing w:line="318" w:lineRule="atLeast"/>
        <w:ind w:left="360" w:firstLine="32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“三公”经费增减变动原因说明</w:t>
      </w:r>
    </w:p>
    <w:p>
      <w:pPr>
        <w:pStyle w:val="2"/>
        <w:widowControl/>
        <w:numPr>
          <w:ilvl w:val="0"/>
          <w:numId w:val="0"/>
        </w:numPr>
        <w:spacing w:line="318" w:lineRule="atLeast"/>
        <w:ind w:left="680" w:leftChars="0"/>
        <w:rPr>
          <w:rFonts w:hint="eastAsia" w:ascii="仿宋_GB2312" w:hAnsi="仿宋" w:eastAsia="仿宋_GB2312" w:cs="宋体"/>
          <w:color w:val="222222"/>
          <w:spacing w:val="10"/>
          <w:kern w:val="0"/>
          <w:sz w:val="32"/>
          <w:szCs w:val="32"/>
          <w:lang w:val="en-US" w:eastAsia="zh-CN"/>
        </w:rPr>
      </w:pPr>
      <w:r>
        <w:rPr>
          <w:rFonts w:hint="eastAsia" w:ascii="仿宋" w:hAnsi="仿宋" w:eastAsia="仿宋" w:cs="仿宋"/>
          <w:color w:val="000000"/>
          <w:sz w:val="32"/>
          <w:szCs w:val="32"/>
        </w:rPr>
        <w:t>2017年“三公”经费预算同上年度相同。</w:t>
      </w:r>
    </w:p>
    <w:p>
      <w:pPr>
        <w:numPr>
          <w:ilvl w:val="0"/>
          <w:numId w:val="1"/>
        </w:numPr>
        <w:ind w:left="360" w:leftChars="0" w:firstLine="320" w:firstLineChars="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政府采购情况：无</w:t>
      </w:r>
    </w:p>
    <w:p>
      <w:pPr>
        <w:numPr>
          <w:numId w:val="0"/>
        </w:numPr>
        <w:ind w:left="680" w:leftChars="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4、机关运行经费无增减变动</w:t>
      </w:r>
    </w:p>
    <w:p>
      <w:pPr>
        <w:numPr>
          <w:numId w:val="0"/>
        </w:numPr>
        <w:ind w:left="680" w:leftChars="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5、其他：无</w:t>
      </w:r>
      <w:bookmarkStart w:id="0" w:name="_GoBack"/>
      <w:bookmarkEnd w:id="0"/>
    </w:p>
    <w:p>
      <w:pPr>
        <w:widowControl/>
        <w:shd w:val="clear" w:color="auto" w:fill="FFFFFF"/>
        <w:spacing w:line="404" w:lineRule="atLeast"/>
        <w:jc w:val="center"/>
        <w:rPr>
          <w:rFonts w:hint="eastAsia" w:ascii="仿宋" w:hAnsi="仿宋" w:eastAsia="仿宋" w:cs="仿宋"/>
          <w:color w:val="222222"/>
          <w:kern w:val="0"/>
          <w:sz w:val="22"/>
        </w:rPr>
      </w:pPr>
      <w:r>
        <w:rPr>
          <w:rFonts w:hint="eastAsia" w:ascii="仿宋" w:hAnsi="仿宋" w:eastAsia="仿宋" w:cs="仿宋"/>
          <w:b/>
          <w:bCs/>
          <w:color w:val="222222"/>
          <w:kern w:val="0"/>
          <w:sz w:val="30"/>
          <w:szCs w:val="30"/>
        </w:rPr>
        <w:t>第四部分  </w:t>
      </w:r>
      <w:r>
        <w:rPr>
          <w:rFonts w:hint="eastAsia" w:ascii="仿宋" w:hAnsi="仿宋" w:eastAsia="仿宋" w:cs="仿宋"/>
          <w:b/>
          <w:bCs/>
          <w:color w:val="222222"/>
          <w:kern w:val="0"/>
          <w:sz w:val="30"/>
        </w:rPr>
        <w:t> </w:t>
      </w:r>
      <w:r>
        <w:rPr>
          <w:rFonts w:hint="eastAsia" w:ascii="仿宋" w:hAnsi="仿宋" w:eastAsia="仿宋" w:cs="仿宋"/>
          <w:b/>
          <w:bCs/>
          <w:color w:val="222222"/>
          <w:kern w:val="0"/>
          <w:sz w:val="30"/>
          <w:szCs w:val="30"/>
        </w:rPr>
        <w:t>名词解释</w:t>
      </w:r>
    </w:p>
    <w:p>
      <w:pPr>
        <w:autoSpaceDE w:val="0"/>
        <w:autoSpaceDN w:val="0"/>
        <w:adjustRightInd w:val="0"/>
        <w:ind w:firstLine="680" w:firstLineChars="200"/>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（1）基本支出：指为保障机构正常运转、完成日常</w:t>
      </w:r>
    </w:p>
    <w:p>
      <w:pPr>
        <w:autoSpaceDE w:val="0"/>
        <w:autoSpaceDN w:val="0"/>
        <w:adjustRightInd w:val="0"/>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工作任务而发生的人员支出和公用支出。</w:t>
      </w:r>
    </w:p>
    <w:p>
      <w:pPr>
        <w:autoSpaceDE w:val="0"/>
        <w:autoSpaceDN w:val="0"/>
        <w:adjustRightInd w:val="0"/>
        <w:ind w:firstLine="680" w:firstLineChars="200"/>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（2）项目支出：指在基本支出之外为完成特定行政任务和事业发展目标所发生的支出。</w:t>
      </w:r>
    </w:p>
    <w:p>
      <w:pPr>
        <w:autoSpaceDE w:val="0"/>
        <w:autoSpaceDN w:val="0"/>
        <w:adjustRightInd w:val="0"/>
        <w:ind w:firstLine="680" w:firstLineChars="200"/>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3）“三公”经费：指市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autoSpaceDE w:val="0"/>
        <w:autoSpaceDN w:val="0"/>
        <w:adjustRightInd w:val="0"/>
        <w:ind w:firstLine="680" w:firstLineChars="200"/>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（4）机关运行经费：指行政单位和参照公务员法管理的事业单位使用一般公共预算安排的基本支出中的日常公用经费支出。</w:t>
      </w:r>
    </w:p>
    <w:p>
      <w:pPr>
        <w:ind w:firstLine="636"/>
        <w:rPr>
          <w:rFonts w:hint="eastAsia" w:ascii="仿宋" w:hAnsi="仿宋" w:eastAsia="仿宋" w:cs="仿宋"/>
          <w:color w:val="222222"/>
          <w:spacing w:val="10"/>
          <w:kern w:val="0"/>
          <w:sz w:val="32"/>
          <w:szCs w:val="32"/>
        </w:rPr>
      </w:pPr>
    </w:p>
    <w:p>
      <w:pPr>
        <w:rPr>
          <w:rFonts w:hint="eastAsia" w:ascii="仿宋" w:hAnsi="仿宋" w:eastAsia="仿宋" w:cs="仿宋"/>
        </w:rPr>
      </w:pPr>
    </w:p>
    <w:p>
      <w:pPr>
        <w:rPr>
          <w:rFonts w:hint="eastAsia" w:ascii="仿宋" w:hAnsi="仿宋" w:eastAsia="仿宋" w:cs="仿宋"/>
        </w:rPr>
      </w:pPr>
    </w:p>
    <w:p>
      <w:pPr>
        <w:rPr>
          <w:rFonts w:hint="eastAsia" w:ascii="仿宋" w:hAnsi="仿宋" w:eastAsia="仿宋" w:cs="仿宋"/>
        </w:rPr>
      </w:pPr>
    </w:p>
    <w:p>
      <w:pPr>
        <w:rPr>
          <w:rFonts w:hint="eastAsia" w:ascii="仿宋" w:hAnsi="仿宋" w:eastAsia="仿宋" w:cs="仿宋"/>
        </w:rPr>
      </w:pPr>
    </w:p>
    <w:p>
      <w:pPr>
        <w:rPr>
          <w:rFonts w:hint="eastAsia" w:ascii="仿宋" w:hAnsi="仿宋" w:eastAsia="仿宋" w:cs="仿宋"/>
        </w:rPr>
      </w:pPr>
    </w:p>
    <w:p>
      <w:pPr>
        <w:rPr>
          <w:rFonts w:hint="eastAsia" w:ascii="仿宋" w:hAnsi="仿宋" w:eastAsia="仿宋" w:cs="仿宋"/>
          <w:sz w:val="32"/>
          <w:szCs w:val="32"/>
        </w:rPr>
      </w:pPr>
      <w:r>
        <w:rPr>
          <w:rFonts w:hint="eastAsia" w:ascii="仿宋" w:hAnsi="仿宋" w:eastAsia="仿宋" w:cs="仿宋"/>
          <w:sz w:val="32"/>
          <w:szCs w:val="32"/>
        </w:rPr>
        <w:t xml:space="preserve">                         </w:t>
      </w:r>
    </w:p>
    <w:p>
      <w:pPr>
        <w:rPr>
          <w:rFonts w:hint="eastAsia" w:ascii="仿宋" w:hAnsi="仿宋" w:eastAsia="仿宋" w:cs="仿宋"/>
          <w:sz w:val="32"/>
          <w:szCs w:val="32"/>
        </w:rPr>
      </w:pPr>
      <w:r>
        <w:rPr>
          <w:rFonts w:hint="eastAsia" w:ascii="仿宋" w:hAnsi="仿宋" w:eastAsia="仿宋" w:cs="仿宋"/>
          <w:sz w:val="32"/>
          <w:szCs w:val="32"/>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Helvetica">
    <w:altName w:val="Arial"/>
    <w:panose1 w:val="020B0604020202020204"/>
    <w:charset w:val="00"/>
    <w:family w:val="swiss"/>
    <w:pitch w:val="default"/>
    <w:sig w:usb0="00000000" w:usb1="00000000" w:usb2="00000008" w:usb3="00000000" w:csb0="000001F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Arial">
    <w:panose1 w:val="020B0604020202020204"/>
    <w:charset w:val="00"/>
    <w:family w:val="swiss"/>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3EED3B7"/>
    <w:multiLevelType w:val="singleLevel"/>
    <w:tmpl w:val="63EED3B7"/>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6302E7"/>
    <w:rsid w:val="000F5302"/>
    <w:rsid w:val="00B43CE0"/>
    <w:rsid w:val="3FEB7A9D"/>
    <w:rsid w:val="426C63D7"/>
    <w:rsid w:val="446302E7"/>
    <w:rsid w:val="56165020"/>
    <w:rsid w:val="56F07B57"/>
    <w:rsid w:val="6F1C03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unhideWhenUsed/>
    <w:qFormat/>
    <w:uiPriority w:val="1"/>
  </w:style>
  <w:style w:type="table" w:default="1" w:styleId="4">
    <w:name w:val="Normal Table"/>
    <w:unhideWhenUsed/>
    <w:qFormat/>
    <w:uiPriority w:val="99"/>
    <w:tblPr>
      <w:tblLayout w:type="fixed"/>
      <w:tblCellMar>
        <w:top w:w="0" w:type="dxa"/>
        <w:left w:w="108" w:type="dxa"/>
        <w:bottom w:w="0" w:type="dxa"/>
        <w:right w:w="108" w:type="dxa"/>
      </w:tblCellMar>
    </w:tblPr>
  </w:style>
  <w:style w:type="paragraph" w:styleId="2">
    <w:name w:val="Normal (Web)"/>
    <w:basedOn w:val="1"/>
    <w:qFormat/>
    <w:uiPriority w:val="0"/>
    <w:rPr>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2</Pages>
  <Words>514</Words>
  <Characters>160</Characters>
  <Lines>1</Lines>
  <Paragraphs>1</Paragraphs>
  <TotalTime>1</TotalTime>
  <ScaleCrop>false</ScaleCrop>
  <LinksUpToDate>false</LinksUpToDate>
  <CharactersWithSpaces>673</CharactersWithSpaces>
  <Application>WPS Office_10.1.0.7521_F1E327BC-269C-435d-A152-05C5408002CA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2017-03-29T03:43:00Z</dcterms:created>
  <dc:creator>Administrator</dc:creator>
  <cp:lastModifiedBy>Administrator</cp:lastModifiedBy>
  <dcterms:modified xsi:type="dcterms:W3CDTF">2018-11-15T07:47:25Z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2052-10.1.0.7521</vt:lpwstr>
  </property>
</Properties>
</file>