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500" w:lineRule="exact"/>
        <w:jc w:val="center"/>
        <w:rPr>
          <w:rFonts w:ascii="微软雅黑" w:hAnsi="微软雅黑" w:eastAsia="微软雅黑" w:cs="宋体"/>
          <w:color w:val="222222"/>
          <w:kern w:val="0"/>
          <w:sz w:val="22"/>
        </w:rPr>
      </w:pPr>
      <w:r>
        <w:rPr>
          <w:rFonts w:hint="eastAsia" w:ascii="仿宋" w:hAnsi="仿宋" w:eastAsia="仿宋" w:cs="宋体"/>
          <w:b/>
          <w:bCs/>
          <w:color w:val="222222"/>
          <w:spacing w:val="10"/>
          <w:kern w:val="0"/>
          <w:sz w:val="36"/>
          <w:szCs w:val="36"/>
        </w:rPr>
        <w:t>永和县看守所</w:t>
      </w:r>
    </w:p>
    <w:p>
      <w:pPr>
        <w:widowControl/>
        <w:shd w:val="clear" w:color="auto" w:fill="FFFFFF"/>
        <w:spacing w:line="500" w:lineRule="exact"/>
        <w:jc w:val="center"/>
        <w:rPr>
          <w:rFonts w:ascii="微软雅黑" w:hAnsi="微软雅黑" w:eastAsia="微软雅黑" w:cs="宋体"/>
          <w:color w:val="222222"/>
          <w:kern w:val="0"/>
          <w:sz w:val="22"/>
        </w:rPr>
      </w:pPr>
      <w:r>
        <w:rPr>
          <w:rFonts w:hint="eastAsia" w:ascii="仿宋" w:hAnsi="仿宋" w:eastAsia="仿宋" w:cs="宋体"/>
          <w:b/>
          <w:bCs/>
          <w:color w:val="222222"/>
          <w:kern w:val="0"/>
          <w:sz w:val="36"/>
          <w:szCs w:val="36"/>
        </w:rPr>
        <w:t>2017</w:t>
      </w:r>
      <w:r>
        <w:rPr>
          <w:rFonts w:hint="eastAsia" w:ascii="仿宋" w:hAnsi="仿宋" w:eastAsia="仿宋" w:cs="宋体"/>
          <w:b/>
          <w:bCs/>
          <w:color w:val="222222"/>
          <w:spacing w:val="10"/>
          <w:kern w:val="0"/>
          <w:sz w:val="36"/>
          <w:szCs w:val="36"/>
        </w:rPr>
        <w:t>年度部门预算情况说明</w:t>
      </w:r>
    </w:p>
    <w:p>
      <w:pPr>
        <w:widowControl/>
        <w:shd w:val="clear" w:color="auto" w:fill="FFFFFF"/>
        <w:spacing w:line="500" w:lineRule="exact"/>
        <w:jc w:val="center"/>
        <w:rPr>
          <w:rFonts w:ascii="宋体" w:hAnsi="宋体" w:eastAsia="宋体" w:cs="宋体"/>
          <w:color w:val="222222"/>
          <w:kern w:val="0"/>
          <w:sz w:val="44"/>
          <w:szCs w:val="44"/>
        </w:rPr>
      </w:pPr>
    </w:p>
    <w:p>
      <w:pPr>
        <w:widowControl/>
        <w:shd w:val="clear" w:color="auto" w:fill="FFFFFF"/>
        <w:spacing w:line="500" w:lineRule="exact"/>
        <w:jc w:val="center"/>
        <w:rPr>
          <w:rFonts w:ascii="仿宋" w:hAnsi="仿宋" w:eastAsia="仿宋" w:cs="宋体"/>
          <w:color w:val="222222"/>
          <w:kern w:val="0"/>
          <w:sz w:val="32"/>
          <w:szCs w:val="32"/>
        </w:rPr>
      </w:pPr>
      <w:r>
        <w:rPr>
          <w:rFonts w:hint="eastAsia" w:ascii="宋体" w:hAnsi="宋体" w:eastAsia="仿宋" w:cs="宋体"/>
          <w:color w:val="222222"/>
          <w:kern w:val="0"/>
          <w:sz w:val="32"/>
          <w:szCs w:val="32"/>
        </w:rPr>
        <w:t> </w:t>
      </w:r>
      <w:r>
        <w:rPr>
          <w:rFonts w:hint="eastAsia" w:ascii="仿宋" w:hAnsi="仿宋" w:eastAsia="仿宋" w:cs="宋体"/>
          <w:b/>
          <w:bCs/>
          <w:color w:val="222222"/>
          <w:kern w:val="0"/>
          <w:sz w:val="32"/>
          <w:szCs w:val="32"/>
        </w:rPr>
        <w:t>第一部分</w:t>
      </w:r>
      <w:r>
        <w:rPr>
          <w:rFonts w:hint="eastAsia" w:ascii="宋体" w:hAnsi="宋体" w:eastAsia="仿宋" w:cs="宋体"/>
          <w:b/>
          <w:bCs/>
          <w:color w:val="222222"/>
          <w:kern w:val="0"/>
          <w:sz w:val="32"/>
          <w:szCs w:val="32"/>
        </w:rPr>
        <w:t>  </w:t>
      </w:r>
      <w:r>
        <w:rPr>
          <w:rFonts w:hint="eastAsia" w:ascii="仿宋" w:hAnsi="仿宋" w:eastAsia="仿宋" w:cs="宋体"/>
          <w:b/>
          <w:bCs/>
          <w:color w:val="222222"/>
          <w:kern w:val="0"/>
          <w:sz w:val="32"/>
          <w:szCs w:val="32"/>
        </w:rPr>
        <w:t>概况</w:t>
      </w:r>
    </w:p>
    <w:p>
      <w:pPr>
        <w:widowControl/>
        <w:shd w:val="clear" w:color="auto" w:fill="FFFFFF"/>
        <w:spacing w:line="500" w:lineRule="exact"/>
        <w:ind w:firstLine="600"/>
        <w:rPr>
          <w:rFonts w:ascii="仿宋" w:hAnsi="仿宋" w:eastAsia="仿宋" w:cs="宋体"/>
          <w:b/>
          <w:color w:val="222222"/>
          <w:kern w:val="0"/>
          <w:sz w:val="32"/>
          <w:szCs w:val="32"/>
        </w:rPr>
      </w:pPr>
      <w:r>
        <w:rPr>
          <w:rFonts w:hint="eastAsia" w:ascii="仿宋" w:hAnsi="仿宋" w:eastAsia="仿宋" w:cs="宋体"/>
          <w:b/>
          <w:color w:val="222222"/>
          <w:kern w:val="0"/>
          <w:sz w:val="32"/>
          <w:szCs w:val="32"/>
        </w:rPr>
        <w:t>1、</w:t>
      </w:r>
      <w:r>
        <w:rPr>
          <w:rFonts w:hint="eastAsia" w:ascii="仿宋" w:hAnsi="仿宋" w:eastAsia="仿宋" w:cs="宋体"/>
          <w:b/>
          <w:color w:val="222222"/>
          <w:spacing w:val="10"/>
          <w:kern w:val="0"/>
          <w:sz w:val="32"/>
          <w:szCs w:val="32"/>
        </w:rPr>
        <w:t>主要职能职责：</w:t>
      </w:r>
    </w:p>
    <w:p>
      <w:pPr>
        <w:widowControl/>
        <w:shd w:val="clear" w:color="auto" w:fill="FFFFFF"/>
        <w:spacing w:line="500" w:lineRule="exact"/>
        <w:ind w:firstLine="600"/>
        <w:rPr>
          <w:rFonts w:hint="eastAsia" w:ascii="仿宋" w:hAnsi="仿宋" w:eastAsia="仿宋" w:cs="宋体"/>
          <w:sz w:val="32"/>
          <w:szCs w:val="32"/>
        </w:rPr>
      </w:pPr>
      <w:r>
        <w:rPr>
          <w:rFonts w:hint="eastAsia" w:ascii="仿宋" w:hAnsi="仿宋" w:eastAsia="仿宋" w:cs="宋体"/>
          <w:sz w:val="32"/>
          <w:szCs w:val="32"/>
          <w:lang w:eastAsia="zh-CN"/>
        </w:rPr>
        <w:t>看守所是国家的刑事羁押机关，羁押依法被刑事拘留、逮捕的犯罪嫌疑人、被告人。看守所的任务是依法对被羁押的犯罪嫌疑人、被告人实行武装警戒看守，保证安全，对犯罪嫌疑人、被告人进行管理教育，保障侦查、起诉、审判工作的顺利进行；将罪犯送交刑罚执行机关执行刑罚。</w:t>
      </w:r>
    </w:p>
    <w:p>
      <w:pPr>
        <w:pStyle w:val="2"/>
        <w:keepNext w:val="0"/>
        <w:keepLines w:val="0"/>
        <w:pageBreakBefore w:val="0"/>
        <w:widowControl/>
        <w:numPr>
          <w:ilvl w:val="0"/>
          <w:numId w:val="1"/>
        </w:numPr>
        <w:suppressLineNumbers w:val="0"/>
        <w:kinsoku/>
        <w:wordWrap/>
        <w:overflowPunct/>
        <w:topLinePunct w:val="0"/>
        <w:autoSpaceDE/>
        <w:autoSpaceDN/>
        <w:bidi w:val="0"/>
        <w:adjustRightInd/>
        <w:snapToGrid/>
        <w:spacing w:before="0" w:after="0" w:line="560" w:lineRule="exact"/>
        <w:ind w:left="0" w:leftChars="0" w:right="0" w:rightChars="0" w:firstLine="683" w:firstLineChars="200"/>
        <w:jc w:val="both"/>
        <w:textAlignment w:val="auto"/>
        <w:outlineLvl w:val="9"/>
        <w:rPr>
          <w:rFonts w:hint="eastAsia" w:ascii="仿宋" w:hAnsi="仿宋" w:eastAsia="仿宋" w:cs="仿宋"/>
          <w:b/>
          <w:bCs/>
          <w:color w:val="222222"/>
          <w:spacing w:val="10"/>
          <w:kern w:val="0"/>
          <w:sz w:val="32"/>
          <w:szCs w:val="32"/>
        </w:rPr>
      </w:pPr>
      <w:r>
        <w:rPr>
          <w:rFonts w:hint="eastAsia" w:ascii="仿宋" w:hAnsi="仿宋" w:eastAsia="仿宋" w:cs="仿宋"/>
          <w:b/>
          <w:bCs/>
          <w:color w:val="222222"/>
          <w:spacing w:val="10"/>
          <w:kern w:val="0"/>
          <w:sz w:val="32"/>
          <w:szCs w:val="32"/>
        </w:rPr>
        <w:t>部门预算单位构成：</w:t>
      </w:r>
    </w:p>
    <w:p>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0" w:after="0" w:line="560" w:lineRule="exact"/>
        <w:ind w:right="0" w:rightChars="0" w:firstLine="640" w:firstLineChars="200"/>
        <w:jc w:val="both"/>
        <w:textAlignment w:val="auto"/>
        <w:outlineLvl w:val="9"/>
        <w:rPr>
          <w:rFonts w:hint="eastAsia" w:ascii="仿宋" w:hAnsi="仿宋" w:eastAsia="仿宋" w:cs="仿宋"/>
          <w:color w:val="1B1B1B"/>
          <w:sz w:val="32"/>
          <w:szCs w:val="32"/>
        </w:rPr>
      </w:pPr>
      <w:r>
        <w:rPr>
          <w:rFonts w:hint="eastAsia" w:ascii="仿宋" w:hAnsi="仿宋" w:eastAsia="仿宋" w:cs="宋体"/>
          <w:color w:val="222222"/>
          <w:kern w:val="0"/>
          <w:sz w:val="32"/>
          <w:szCs w:val="32"/>
        </w:rPr>
        <w:t>永和县看守所</w:t>
      </w:r>
      <w:r>
        <w:rPr>
          <w:rFonts w:hint="eastAsia" w:ascii="仿宋" w:hAnsi="仿宋" w:eastAsia="仿宋" w:cs="仿宋"/>
          <w:color w:val="000000"/>
          <w:sz w:val="32"/>
          <w:szCs w:val="32"/>
        </w:rPr>
        <w:t>成</w:t>
      </w:r>
      <w:r>
        <w:rPr>
          <w:rFonts w:hint="eastAsia" w:ascii="仿宋" w:hAnsi="仿宋" w:eastAsia="仿宋" w:cs="仿宋"/>
          <w:color w:val="000000"/>
          <w:sz w:val="32"/>
          <w:szCs w:val="32"/>
          <w:lang w:eastAsia="zh-CN"/>
        </w:rPr>
        <w:t>单</w:t>
      </w:r>
      <w:r>
        <w:rPr>
          <w:rFonts w:hint="eastAsia" w:ascii="仿宋" w:hAnsi="仿宋" w:eastAsia="仿宋" w:cs="仿宋"/>
          <w:color w:val="000000"/>
          <w:sz w:val="32"/>
          <w:szCs w:val="32"/>
        </w:rPr>
        <w:t>位性质为参照公务员制度管理的事业单位</w:t>
      </w:r>
      <w:r>
        <w:rPr>
          <w:rFonts w:hint="eastAsia" w:ascii="仿宋" w:hAnsi="仿宋" w:eastAsia="仿宋" w:cs="仿宋"/>
          <w:color w:val="000000"/>
          <w:sz w:val="32"/>
          <w:szCs w:val="32"/>
          <w:lang w:eastAsia="zh-CN"/>
        </w:rPr>
        <w:t>，只有一个独立政府机关，设立一个机构，人员警力为</w:t>
      </w:r>
      <w:r>
        <w:rPr>
          <w:rFonts w:hint="eastAsia" w:ascii="仿宋" w:hAnsi="仿宋" w:eastAsia="仿宋" w:cs="仿宋"/>
          <w:color w:val="000000"/>
          <w:sz w:val="32"/>
          <w:szCs w:val="32"/>
          <w:lang w:val="en-US" w:eastAsia="zh-CN"/>
        </w:rPr>
        <w:t>15人，其中所长1名，指导员1名，副所长2名</w:t>
      </w:r>
      <w:r>
        <w:rPr>
          <w:rFonts w:hint="eastAsia" w:ascii="仿宋" w:hAnsi="仿宋" w:eastAsia="仿宋" w:cs="仿宋"/>
          <w:color w:val="000000"/>
          <w:sz w:val="32"/>
          <w:szCs w:val="32"/>
          <w:lang w:eastAsia="zh-CN"/>
        </w:rPr>
        <w:t>。</w:t>
      </w:r>
    </w:p>
    <w:p>
      <w:pPr>
        <w:widowControl/>
        <w:shd w:val="clear" w:color="auto" w:fill="FFFFFF"/>
        <w:spacing w:line="500" w:lineRule="exact"/>
        <w:ind w:firstLine="602"/>
        <w:jc w:val="center"/>
        <w:rPr>
          <w:rFonts w:ascii="仿宋" w:hAnsi="仿宋" w:eastAsia="仿宋" w:cs="宋体"/>
          <w:color w:val="222222"/>
          <w:kern w:val="0"/>
          <w:sz w:val="32"/>
          <w:szCs w:val="32"/>
        </w:rPr>
      </w:pPr>
      <w:r>
        <w:rPr>
          <w:rFonts w:hint="eastAsia" w:ascii="仿宋" w:hAnsi="仿宋" w:eastAsia="仿宋" w:cs="宋体"/>
          <w:b/>
          <w:bCs/>
          <w:color w:val="222222"/>
          <w:spacing w:val="10"/>
          <w:kern w:val="0"/>
          <w:sz w:val="32"/>
          <w:szCs w:val="32"/>
        </w:rPr>
        <w:t>第二部分</w:t>
      </w:r>
      <w:r>
        <w:rPr>
          <w:rFonts w:hint="eastAsia" w:ascii="宋体" w:hAnsi="宋体" w:eastAsia="仿宋" w:cs="宋体"/>
          <w:b/>
          <w:bCs/>
          <w:color w:val="222222"/>
          <w:spacing w:val="10"/>
          <w:kern w:val="0"/>
          <w:sz w:val="32"/>
          <w:szCs w:val="32"/>
        </w:rPr>
        <w:t>  </w:t>
      </w:r>
      <w:r>
        <w:rPr>
          <w:rFonts w:hint="eastAsia" w:ascii="仿宋" w:hAnsi="仿宋" w:eastAsia="仿宋" w:cs="宋体"/>
          <w:b/>
          <w:bCs/>
          <w:color w:val="222222"/>
          <w:spacing w:val="10"/>
          <w:kern w:val="0"/>
          <w:sz w:val="32"/>
          <w:szCs w:val="32"/>
        </w:rPr>
        <w:t>2017年度部门预算报表</w:t>
      </w:r>
    </w:p>
    <w:p>
      <w:pPr>
        <w:widowControl/>
        <w:shd w:val="clear" w:color="auto" w:fill="FFFFFF"/>
        <w:spacing w:line="500" w:lineRule="exact"/>
        <w:ind w:firstLine="600"/>
        <w:rPr>
          <w:rFonts w:ascii="仿宋" w:hAnsi="仿宋" w:eastAsia="仿宋" w:cs="宋体"/>
          <w:color w:val="222222"/>
          <w:kern w:val="0"/>
          <w:sz w:val="32"/>
          <w:szCs w:val="32"/>
        </w:rPr>
      </w:pPr>
      <w:r>
        <w:rPr>
          <w:rFonts w:hint="eastAsia" w:ascii="仿宋" w:hAnsi="仿宋" w:eastAsia="仿宋" w:cs="宋体"/>
          <w:color w:val="222222"/>
          <w:spacing w:val="10"/>
          <w:kern w:val="0"/>
          <w:sz w:val="32"/>
          <w:szCs w:val="32"/>
        </w:rPr>
        <w:t>本部分内容见附表。</w:t>
      </w:r>
    </w:p>
    <w:p>
      <w:pPr>
        <w:widowControl/>
        <w:shd w:val="clear" w:color="auto" w:fill="FFFFFF"/>
        <w:spacing w:line="500" w:lineRule="exact"/>
        <w:ind w:firstLine="602"/>
        <w:jc w:val="center"/>
        <w:rPr>
          <w:rFonts w:ascii="仿宋" w:hAnsi="仿宋" w:eastAsia="仿宋" w:cs="宋体"/>
          <w:color w:val="222222"/>
          <w:kern w:val="0"/>
          <w:sz w:val="32"/>
          <w:szCs w:val="32"/>
        </w:rPr>
      </w:pPr>
      <w:r>
        <w:rPr>
          <w:rFonts w:hint="eastAsia" w:ascii="仿宋" w:hAnsi="仿宋" w:eastAsia="仿宋" w:cs="宋体"/>
          <w:b/>
          <w:bCs/>
          <w:color w:val="222222"/>
          <w:spacing w:val="10"/>
          <w:kern w:val="0"/>
          <w:sz w:val="32"/>
          <w:szCs w:val="32"/>
        </w:rPr>
        <w:t>第三部分</w:t>
      </w:r>
      <w:r>
        <w:rPr>
          <w:rFonts w:hint="eastAsia" w:ascii="宋体" w:hAnsi="宋体" w:eastAsia="仿宋" w:cs="宋体"/>
          <w:b/>
          <w:bCs/>
          <w:color w:val="222222"/>
          <w:spacing w:val="10"/>
          <w:kern w:val="0"/>
          <w:sz w:val="32"/>
          <w:szCs w:val="32"/>
        </w:rPr>
        <w:t>  </w:t>
      </w:r>
      <w:r>
        <w:rPr>
          <w:rFonts w:hint="eastAsia" w:ascii="仿宋" w:hAnsi="仿宋" w:eastAsia="仿宋" w:cs="仿宋"/>
          <w:b/>
          <w:bCs/>
          <w:color w:val="222222"/>
          <w:spacing w:val="10"/>
          <w:kern w:val="0"/>
          <w:sz w:val="32"/>
          <w:szCs w:val="32"/>
        </w:rPr>
        <w:t>2017年</w:t>
      </w:r>
      <w:r>
        <w:rPr>
          <w:rFonts w:hint="eastAsia" w:ascii="仿宋" w:hAnsi="仿宋" w:eastAsia="仿宋" w:cs="宋体"/>
          <w:b/>
          <w:bCs/>
          <w:color w:val="222222"/>
          <w:spacing w:val="10"/>
          <w:kern w:val="0"/>
          <w:sz w:val="32"/>
          <w:szCs w:val="32"/>
        </w:rPr>
        <w:t>度部门预算情况说明</w:t>
      </w:r>
    </w:p>
    <w:p>
      <w:pPr>
        <w:numPr>
          <w:ilvl w:val="0"/>
          <w:numId w:val="0"/>
        </w:numPr>
        <w:ind w:firstLine="640" w:firstLineChars="200"/>
        <w:rPr>
          <w:rFonts w:hint="eastAsia" w:ascii="仿宋" w:hAnsi="仿宋" w:eastAsia="仿宋" w:cs="宋体"/>
          <w:b w:val="0"/>
          <w:bCs w:val="0"/>
          <w:color w:val="222222"/>
          <w:kern w:val="0"/>
          <w:sz w:val="32"/>
          <w:szCs w:val="32"/>
        </w:rPr>
      </w:pPr>
      <w:r>
        <w:rPr>
          <w:rFonts w:hint="eastAsia" w:ascii="仿宋" w:hAnsi="仿宋" w:eastAsia="仿宋" w:cs="宋体"/>
          <w:b w:val="0"/>
          <w:bCs w:val="0"/>
          <w:color w:val="222222"/>
          <w:kern w:val="0"/>
          <w:sz w:val="32"/>
          <w:szCs w:val="32"/>
          <w:lang w:val="en-US" w:eastAsia="zh-CN"/>
        </w:rPr>
        <w:t>1.</w:t>
      </w:r>
      <w:r>
        <w:rPr>
          <w:rFonts w:hint="eastAsia" w:ascii="仿宋" w:hAnsi="仿宋" w:eastAsia="仿宋" w:cs="宋体"/>
          <w:b w:val="0"/>
          <w:bCs w:val="0"/>
          <w:color w:val="222222"/>
          <w:kern w:val="0"/>
          <w:sz w:val="32"/>
          <w:szCs w:val="32"/>
        </w:rPr>
        <w:t>今年预算经费30万元无增加和减少。</w:t>
      </w:r>
    </w:p>
    <w:p>
      <w:pPr>
        <w:autoSpaceDE w:val="0"/>
        <w:autoSpaceDN w:val="0"/>
        <w:adjustRightInd w:val="0"/>
        <w:spacing w:line="500" w:lineRule="exact"/>
        <w:ind w:firstLine="680" w:firstLineChars="200"/>
        <w:rPr>
          <w:rFonts w:hint="eastAsia"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lang w:val="en-US" w:eastAsia="zh-CN"/>
        </w:rPr>
        <w:t>2.</w:t>
      </w:r>
      <w:r>
        <w:rPr>
          <w:rFonts w:hint="eastAsia" w:ascii="仿宋" w:hAnsi="仿宋" w:eastAsia="仿宋" w:cs="宋体"/>
          <w:color w:val="222222"/>
          <w:spacing w:val="10"/>
          <w:kern w:val="0"/>
          <w:sz w:val="32"/>
          <w:szCs w:val="32"/>
        </w:rPr>
        <w:t>“三公”经费</w:t>
      </w:r>
      <w:r>
        <w:rPr>
          <w:rFonts w:hint="eastAsia" w:ascii="仿宋" w:hAnsi="仿宋" w:eastAsia="仿宋" w:cs="宋体"/>
          <w:color w:val="222222"/>
          <w:spacing w:val="10"/>
          <w:kern w:val="0"/>
          <w:sz w:val="32"/>
          <w:szCs w:val="32"/>
          <w:lang w:eastAsia="zh-CN"/>
        </w:rPr>
        <w:t>无增减变动：</w:t>
      </w:r>
      <w:r>
        <w:rPr>
          <w:rFonts w:hint="eastAsia" w:ascii="仿宋" w:hAnsi="仿宋" w:eastAsia="仿宋" w:cs="宋体"/>
          <w:color w:val="222222"/>
          <w:spacing w:val="10"/>
          <w:kern w:val="0"/>
          <w:sz w:val="32"/>
          <w:szCs w:val="32"/>
        </w:rPr>
        <w:t>无因公出国（境）费反映单位公务出国（境）的国际旅费、国外城市间交通费、住宿费、伙食费、培训费、公杂费等支出；公务用车运行维护费反映单位按规定保留的公务用车燃料费、维修费、过路过桥费、保险费、安全奖励费用等支出2万元；公务接待费反映单位按规定开支的各类公务接待（含外宾接待）支出4千元。</w:t>
      </w:r>
    </w:p>
    <w:p>
      <w:pPr>
        <w:numPr>
          <w:ilvl w:val="0"/>
          <w:numId w:val="0"/>
        </w:numPr>
        <w:ind w:firstLine="680" w:firstLineChars="200"/>
        <w:rPr>
          <w:rFonts w:hint="eastAsia" w:ascii="仿宋_GB2312" w:hAnsi="仿宋" w:eastAsia="仿宋_GB2312" w:cs="宋体"/>
          <w:color w:val="222222"/>
          <w:spacing w:val="10"/>
          <w:kern w:val="0"/>
          <w:sz w:val="32"/>
          <w:szCs w:val="32"/>
        </w:rPr>
      </w:pPr>
      <w:r>
        <w:rPr>
          <w:rFonts w:hint="eastAsia" w:ascii="仿宋_GB2312" w:hAnsi="仿宋" w:eastAsia="仿宋_GB2312" w:cs="宋体"/>
          <w:color w:val="222222"/>
          <w:spacing w:val="10"/>
          <w:kern w:val="0"/>
          <w:sz w:val="32"/>
          <w:szCs w:val="32"/>
          <w:lang w:val="en-US" w:eastAsia="zh-CN"/>
        </w:rPr>
        <w:t>3.</w:t>
      </w:r>
      <w:r>
        <w:rPr>
          <w:rFonts w:hint="eastAsia" w:ascii="仿宋_GB2312" w:hAnsi="仿宋" w:eastAsia="仿宋_GB2312" w:cs="宋体"/>
          <w:color w:val="222222"/>
          <w:spacing w:val="10"/>
          <w:kern w:val="0"/>
          <w:sz w:val="32"/>
          <w:szCs w:val="32"/>
        </w:rPr>
        <w:t>机关运行经费</w:t>
      </w:r>
      <w:r>
        <w:rPr>
          <w:rFonts w:hint="eastAsia" w:ascii="仿宋_GB2312" w:hAnsi="仿宋" w:eastAsia="仿宋_GB2312" w:cs="宋体"/>
          <w:color w:val="222222"/>
          <w:spacing w:val="10"/>
          <w:kern w:val="0"/>
          <w:sz w:val="32"/>
          <w:szCs w:val="32"/>
          <w:lang w:eastAsia="zh-CN"/>
        </w:rPr>
        <w:t>无</w:t>
      </w:r>
      <w:r>
        <w:rPr>
          <w:rFonts w:hint="eastAsia" w:ascii="仿宋_GB2312" w:hAnsi="仿宋" w:eastAsia="仿宋_GB2312" w:cs="宋体"/>
          <w:color w:val="222222"/>
          <w:spacing w:val="10"/>
          <w:kern w:val="0"/>
          <w:sz w:val="32"/>
          <w:szCs w:val="32"/>
        </w:rPr>
        <w:t>增减变动</w:t>
      </w:r>
      <w:r>
        <w:rPr>
          <w:rFonts w:hint="eastAsia" w:ascii="仿宋_GB2312" w:hAnsi="仿宋" w:eastAsia="仿宋_GB2312" w:cs="宋体"/>
          <w:color w:val="222222"/>
          <w:spacing w:val="10"/>
          <w:kern w:val="0"/>
          <w:sz w:val="32"/>
          <w:szCs w:val="32"/>
          <w:lang w:eastAsia="zh-CN"/>
        </w:rPr>
        <w:t>。</w:t>
      </w:r>
    </w:p>
    <w:p>
      <w:pPr>
        <w:widowControl/>
        <w:shd w:val="clear" w:color="auto" w:fill="FFFFFF"/>
        <w:spacing w:line="500" w:lineRule="exact"/>
        <w:ind w:firstLine="680" w:firstLineChars="200"/>
        <w:jc w:val="left"/>
        <w:rPr>
          <w:rFonts w:hint="eastAsia" w:ascii="仿宋_GB2312" w:hAnsi="仿宋" w:eastAsia="仿宋_GB2312" w:cs="宋体"/>
          <w:color w:val="222222"/>
          <w:spacing w:val="10"/>
          <w:kern w:val="0"/>
          <w:sz w:val="32"/>
          <w:szCs w:val="32"/>
        </w:rPr>
      </w:pPr>
      <w:r>
        <w:rPr>
          <w:rFonts w:hint="eastAsia" w:ascii="仿宋_GB2312" w:hAnsi="仿宋" w:eastAsia="仿宋_GB2312" w:cs="宋体"/>
          <w:color w:val="222222"/>
          <w:spacing w:val="10"/>
          <w:kern w:val="0"/>
          <w:sz w:val="32"/>
          <w:szCs w:val="32"/>
          <w:lang w:val="en-US" w:eastAsia="zh-CN"/>
        </w:rPr>
        <w:t>4.</w:t>
      </w:r>
      <w:r>
        <w:rPr>
          <w:rFonts w:hint="eastAsia" w:ascii="仿宋_GB2312" w:hAnsi="仿宋" w:eastAsia="仿宋_GB2312" w:cs="宋体"/>
          <w:color w:val="222222"/>
          <w:spacing w:val="10"/>
          <w:kern w:val="0"/>
          <w:sz w:val="32"/>
          <w:szCs w:val="32"/>
        </w:rPr>
        <w:t>2017年无县级预算政府采购项目</w:t>
      </w:r>
    </w:p>
    <w:p>
      <w:pPr>
        <w:widowControl/>
        <w:shd w:val="clear" w:color="auto" w:fill="FFFFFF"/>
        <w:spacing w:line="404" w:lineRule="atLeast"/>
        <w:jc w:val="center"/>
        <w:rPr>
          <w:rFonts w:ascii="微软雅黑" w:hAnsi="微软雅黑" w:eastAsia="微软雅黑" w:cs="宋体"/>
          <w:color w:val="222222"/>
          <w:kern w:val="0"/>
          <w:sz w:val="22"/>
        </w:rPr>
      </w:pPr>
      <w:r>
        <w:rPr>
          <w:rFonts w:hint="eastAsia" w:ascii="仿宋" w:hAnsi="仿宋" w:eastAsia="仿宋" w:cs="宋体"/>
          <w:b/>
          <w:bCs/>
          <w:color w:val="222222"/>
          <w:kern w:val="0"/>
          <w:sz w:val="30"/>
          <w:szCs w:val="30"/>
        </w:rPr>
        <w:t>第四部分</w:t>
      </w:r>
      <w:r>
        <w:rPr>
          <w:rFonts w:hint="eastAsia" w:ascii="宋体" w:hAnsi="宋体" w:eastAsia="宋体" w:cs="宋体"/>
          <w:b/>
          <w:bCs/>
          <w:color w:val="222222"/>
          <w:kern w:val="0"/>
          <w:sz w:val="30"/>
          <w:szCs w:val="30"/>
        </w:rPr>
        <w:t>  </w:t>
      </w:r>
      <w:r>
        <w:rPr>
          <w:rFonts w:hint="eastAsia" w:ascii="宋体" w:hAnsi="宋体" w:eastAsia="宋体" w:cs="宋体"/>
          <w:b/>
          <w:bCs/>
          <w:color w:val="222222"/>
          <w:kern w:val="0"/>
          <w:sz w:val="30"/>
        </w:rPr>
        <w:t> </w:t>
      </w:r>
      <w:r>
        <w:rPr>
          <w:rFonts w:hint="eastAsia" w:ascii="仿宋" w:hAnsi="仿宋" w:eastAsia="仿宋" w:cs="宋体"/>
          <w:b/>
          <w:bCs/>
          <w:color w:val="222222"/>
          <w:kern w:val="0"/>
          <w:sz w:val="30"/>
          <w:szCs w:val="30"/>
        </w:rPr>
        <w:t>名词解释</w:t>
      </w:r>
    </w:p>
    <w:p>
      <w:pPr>
        <w:autoSpaceDE w:val="0"/>
        <w:autoSpaceDN w:val="0"/>
        <w:adjustRightInd w:val="0"/>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（1）基本支出：指为保障机构正常运转、完成日常</w:t>
      </w:r>
    </w:p>
    <w:p>
      <w:pPr>
        <w:autoSpaceDE w:val="0"/>
        <w:autoSpaceDN w:val="0"/>
        <w:adjustRightInd w:val="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工作任务而发生的人员支出和公用支出。</w:t>
      </w:r>
    </w:p>
    <w:p>
      <w:pPr>
        <w:autoSpaceDE w:val="0"/>
        <w:autoSpaceDN w:val="0"/>
        <w:adjustRightInd w:val="0"/>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（2）项目支出：指在基本支出之外为完成特定行政任务和事业发</w:t>
      </w:r>
      <w:bookmarkStart w:id="0" w:name="_GoBack"/>
      <w:bookmarkEnd w:id="0"/>
      <w:r>
        <w:rPr>
          <w:rFonts w:hint="eastAsia" w:ascii="仿宋" w:hAnsi="仿宋" w:eastAsia="仿宋" w:cs="宋体"/>
          <w:color w:val="222222"/>
          <w:spacing w:val="10"/>
          <w:kern w:val="0"/>
          <w:sz w:val="32"/>
          <w:szCs w:val="32"/>
        </w:rPr>
        <w:t>展目标所发生的支出。</w:t>
      </w:r>
    </w:p>
    <w:p>
      <w:pPr>
        <w:autoSpaceDE w:val="0"/>
        <w:autoSpaceDN w:val="0"/>
        <w:adjustRightInd w:val="0"/>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3）“三公”经费：指市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autoSpaceDE w:val="0"/>
        <w:autoSpaceDN w:val="0"/>
        <w:adjustRightInd w:val="0"/>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（4）机关运行经费：指行政单位和参照公务员法管理的事业单位使用一般公共预算安排的基本支出中的日常公用经费支出。</w:t>
      </w:r>
    </w:p>
    <w:p>
      <w:pPr>
        <w:widowControl/>
        <w:shd w:val="clear" w:color="auto" w:fill="FFFFFF"/>
        <w:spacing w:line="500" w:lineRule="exact"/>
        <w:jc w:val="left"/>
        <w:rPr>
          <w:rFonts w:hint="eastAsia" w:ascii="仿宋_GB2312" w:hAnsi="仿宋" w:eastAsia="仿宋_GB2312" w:cs="宋体"/>
          <w:color w:val="222222"/>
          <w:spacing w:val="10"/>
          <w:kern w:val="0"/>
          <w:sz w:val="32"/>
          <w:szCs w:val="32"/>
        </w:rPr>
      </w:pPr>
    </w:p>
    <w:p>
      <w:pPr>
        <w:autoSpaceDE w:val="0"/>
        <w:autoSpaceDN w:val="0"/>
        <w:adjustRightInd w:val="0"/>
        <w:spacing w:line="500" w:lineRule="exact"/>
        <w:ind w:firstLine="5419" w:firstLineChars="1594"/>
        <w:rPr>
          <w:rFonts w:ascii="仿宋" w:hAnsi="仿宋" w:eastAsia="仿宋" w:cs="宋体"/>
          <w:color w:val="222222"/>
          <w:spacing w:val="10"/>
          <w:kern w:val="0"/>
          <w:sz w:val="32"/>
          <w:szCs w:val="32"/>
        </w:rPr>
      </w:pPr>
    </w:p>
    <w:p>
      <w:pPr>
        <w:autoSpaceDE w:val="0"/>
        <w:autoSpaceDN w:val="0"/>
        <w:adjustRightInd w:val="0"/>
        <w:spacing w:line="500" w:lineRule="exact"/>
        <w:ind w:firstLine="5419" w:firstLineChars="1594"/>
        <w:rPr>
          <w:rFonts w:ascii="仿宋" w:hAnsi="仿宋" w:eastAsia="仿宋" w:cs="宋体"/>
          <w:color w:val="222222"/>
          <w:spacing w:val="10"/>
          <w:kern w:val="0"/>
          <w:sz w:val="32"/>
          <w:szCs w:val="32"/>
        </w:rPr>
      </w:pPr>
    </w:p>
    <w:p>
      <w:pPr>
        <w:autoSpaceDE w:val="0"/>
        <w:autoSpaceDN w:val="0"/>
        <w:adjustRightInd w:val="0"/>
        <w:spacing w:line="500" w:lineRule="exact"/>
        <w:ind w:firstLine="5419" w:firstLineChars="1594"/>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永和县看守所</w:t>
      </w:r>
    </w:p>
    <w:p>
      <w:pPr>
        <w:autoSpaceDE w:val="0"/>
        <w:autoSpaceDN w:val="0"/>
        <w:adjustRightInd w:val="0"/>
        <w:spacing w:line="500" w:lineRule="exact"/>
        <w:ind w:firstLine="4668" w:firstLineChars="1373"/>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二0一七年三月二十九日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Helvetica">
    <w:altName w:val="微软雅黑"/>
    <w:panose1 w:val="00000000000000000000"/>
    <w:charset w:val="01"/>
    <w:family w:val="auto"/>
    <w:pitch w:val="default"/>
    <w:sig w:usb0="00000000" w:usb1="00000000" w:usb2="00000000" w:usb3="00000000" w:csb0="00040001" w:csb1="00000000"/>
  </w:font>
  <w:font w:name="Verdana">
    <w:panose1 w:val="020B0604030504040204"/>
    <w:charset w:val="00"/>
    <w:family w:val="swiss"/>
    <w:pitch w:val="default"/>
    <w:sig w:usb0="A10006FF" w:usb1="4000205B" w:usb2="00000010" w:usb3="00000000" w:csb0="2000019F" w:csb1="00000000"/>
  </w:font>
  <w:font w:name="Arial">
    <w:panose1 w:val="020B0604020202020204"/>
    <w:charset w:val="00"/>
    <w:family w:val="auto"/>
    <w:pitch w:val="default"/>
    <w:sig w:usb0="E0002AFF" w:usb1="C0007843" w:usb2="00000009" w:usb3="00000000" w:csb0="400001FF" w:csb1="FFFF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005085"/>
    <w:multiLevelType w:val="singleLevel"/>
    <w:tmpl w:val="5A005085"/>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21EF"/>
    <w:rsid w:val="00005830"/>
    <w:rsid w:val="004121EF"/>
    <w:rsid w:val="0046524E"/>
    <w:rsid w:val="00546EDA"/>
    <w:rsid w:val="005A4A16"/>
    <w:rsid w:val="006446E7"/>
    <w:rsid w:val="006762C7"/>
    <w:rsid w:val="006C22DA"/>
    <w:rsid w:val="007937DA"/>
    <w:rsid w:val="00BF0584"/>
    <w:rsid w:val="00E77BB9"/>
    <w:rsid w:val="00F42C76"/>
    <w:rsid w:val="00FC5F55"/>
    <w:rsid w:val="092E7F4F"/>
    <w:rsid w:val="1647729D"/>
    <w:rsid w:val="1EBD7074"/>
    <w:rsid w:val="20D360B5"/>
    <w:rsid w:val="2300157B"/>
    <w:rsid w:val="2541667D"/>
    <w:rsid w:val="2C4062ED"/>
    <w:rsid w:val="390B3365"/>
    <w:rsid w:val="42220F59"/>
    <w:rsid w:val="476B1884"/>
    <w:rsid w:val="48D158DA"/>
    <w:rsid w:val="502E26FD"/>
    <w:rsid w:val="542A4207"/>
    <w:rsid w:val="54523EAE"/>
    <w:rsid w:val="58E87FC0"/>
    <w:rsid w:val="6E8E5267"/>
    <w:rsid w:val="76CD36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unhideWhenUsed/>
    <w:qFormat/>
    <w:uiPriority w:val="1"/>
  </w:style>
  <w:style w:type="table" w:default="1" w:styleId="4">
    <w:name w:val="Normal Table"/>
    <w:unhideWhenUsed/>
    <w:qFormat/>
    <w:uiPriority w:val="99"/>
    <w:tblPr>
      <w:tblLayout w:type="fixed"/>
      <w:tblCellMar>
        <w:top w:w="0" w:type="dxa"/>
        <w:left w:w="108" w:type="dxa"/>
        <w:bottom w:w="0" w:type="dxa"/>
        <w:right w:w="108" w:type="dxa"/>
      </w:tblCellMar>
    </w:tblPr>
  </w:style>
  <w:style w:type="paragraph" w:styleId="2">
    <w:name w:val="Normal (Web)"/>
    <w:basedOn w:val="1"/>
    <w:unhideWhenUsed/>
    <w:qFormat/>
    <w:uiPriority w:val="99"/>
    <w:pPr>
      <w:pBdr>
        <w:top w:val="none" w:color="auto" w:sz="0" w:space="0"/>
        <w:left w:val="none" w:color="auto" w:sz="0" w:space="0"/>
        <w:bottom w:val="none" w:color="auto" w:sz="0" w:space="0"/>
        <w:right w:val="none" w:color="auto" w:sz="0" w:space="0"/>
      </w:pBdr>
      <w:spacing w:before="0" w:beforeAutospacing="0" w:after="0" w:afterAutospacing="0" w:line="432" w:lineRule="auto"/>
      <w:ind w:left="0" w:right="0" w:firstLine="0"/>
      <w:jc w:val="left"/>
    </w:pPr>
    <w:rPr>
      <w:kern w:val="0"/>
      <w:sz w:val="24"/>
      <w:lang w:val="en-US" w:eastAsia="zh-CN" w:bidi="ar"/>
    </w:rPr>
  </w:style>
  <w:style w:type="character" w:customStyle="1" w:styleId="5">
    <w:name w:val="apple-converted-space"/>
    <w:basedOn w:val="3"/>
    <w:qFormat/>
    <w:uiPriority w:val="0"/>
  </w:style>
  <w:style w:type="paragraph" w:customStyle="1" w:styleId="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Pages>
  <Words>57</Words>
  <Characters>325</Characters>
  <Lines>2</Lines>
  <Paragraphs>1</Paragraphs>
  <ScaleCrop>false</ScaleCrop>
  <LinksUpToDate>false</LinksUpToDate>
  <CharactersWithSpaces>381</CharactersWithSpaces>
  <Application>WPS Office_10.1.0.6749_F1E327BC-269C-435d-A152-05C5408002CA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2017-03-28T08:29:00Z</dcterms:created>
  <dc:creator>dreamsummit</dc:creator>
  <cp:lastModifiedBy>Administrator</cp:lastModifiedBy>
  <dcterms:modified xsi:type="dcterms:W3CDTF">2018-11-14T11:11:55Z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2052-10.1.0.6749</vt:lpwstr>
  </property>
</Properties>
</file>