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olor w:val="222222"/>
          <w:kern w:val="0"/>
          <w:sz w:val="22"/>
        </w:rPr>
      </w:pPr>
      <w:r>
        <w:rPr>
          <w:rFonts w:hint="eastAsia" w:ascii="仿宋" w:hAnsi="仿宋" w:eastAsia="仿宋"/>
          <w:b/>
          <w:bCs/>
          <w:color w:val="222222"/>
          <w:spacing w:val="10"/>
          <w:kern w:val="0"/>
          <w:sz w:val="36"/>
          <w:szCs w:val="36"/>
        </w:rPr>
        <w:t>永和县老龄办</w:t>
      </w:r>
    </w:p>
    <w:p>
      <w:pPr>
        <w:widowControl/>
        <w:shd w:val="clear" w:color="auto" w:fill="FFFFFF"/>
        <w:spacing w:line="404" w:lineRule="atLeast"/>
        <w:jc w:val="center"/>
        <w:rPr>
          <w:rFonts w:ascii="微软雅黑" w:hAnsi="微软雅黑" w:eastAsia="微软雅黑"/>
          <w:color w:val="222222"/>
          <w:kern w:val="0"/>
          <w:sz w:val="22"/>
        </w:rPr>
      </w:pPr>
      <w:r>
        <w:rPr>
          <w:rFonts w:hint="eastAsia" w:ascii="仿宋" w:hAnsi="仿宋" w:eastAsia="仿宋"/>
          <w:b/>
          <w:bCs/>
          <w:color w:val="222222"/>
          <w:kern w:val="0"/>
          <w:sz w:val="36"/>
          <w:szCs w:val="36"/>
        </w:rPr>
        <w:t>2017</w:t>
      </w:r>
      <w:r>
        <w:rPr>
          <w:rFonts w:hint="eastAsia" w:ascii="仿宋" w:hAnsi="仿宋" w:eastAsia="仿宋"/>
          <w:b/>
          <w:bCs/>
          <w:color w:val="222222"/>
          <w:spacing w:val="10"/>
          <w:kern w:val="0"/>
          <w:sz w:val="36"/>
          <w:szCs w:val="36"/>
        </w:rPr>
        <w:t>年度预算算情况说明</w:t>
      </w:r>
    </w:p>
    <w:p>
      <w:pPr>
        <w:widowControl/>
        <w:shd w:val="clear" w:color="auto" w:fill="FFFFFF"/>
        <w:spacing w:line="404" w:lineRule="atLeast"/>
        <w:jc w:val="center"/>
        <w:rPr>
          <w:rFonts w:ascii="微软雅黑" w:hAnsi="微软雅黑" w:eastAsia="微软雅黑"/>
          <w:color w:val="222222"/>
          <w:kern w:val="0"/>
          <w:sz w:val="22"/>
        </w:rPr>
      </w:pPr>
      <w:r>
        <w:rPr>
          <w:rFonts w:hint="eastAsia" w:ascii="宋体" w:hAnsi="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olor w:val="222222"/>
          <w:kern w:val="0"/>
          <w:sz w:val="22"/>
        </w:rPr>
      </w:pPr>
      <w:r>
        <w:rPr>
          <w:rFonts w:hint="eastAsia" w:ascii="宋体" w:hAnsi="宋体"/>
          <w:b/>
          <w:bCs/>
          <w:color w:val="222222"/>
          <w:kern w:val="0"/>
          <w:sz w:val="28"/>
          <w:szCs w:val="28"/>
        </w:rPr>
        <w:t>第一部分 </w:t>
      </w:r>
      <w:r>
        <w:rPr>
          <w:rFonts w:hint="eastAsia" w:ascii="宋体" w:hAnsi="宋体"/>
          <w:b/>
          <w:bCs/>
          <w:color w:val="222222"/>
          <w:kern w:val="0"/>
          <w:sz w:val="28"/>
        </w:rPr>
        <w:t> </w:t>
      </w:r>
      <w:r>
        <w:rPr>
          <w:rFonts w:hint="eastAsia" w:ascii="宋体" w:hAnsi="宋体"/>
          <w:b/>
          <w:bCs/>
          <w:color w:val="222222"/>
          <w:kern w:val="0"/>
          <w:sz w:val="28"/>
          <w:szCs w:val="28"/>
        </w:rPr>
        <w:t>概况</w:t>
      </w:r>
    </w:p>
    <w:p>
      <w:pPr>
        <w:widowControl/>
        <w:shd w:val="clear" w:color="auto" w:fill="FFFFFF"/>
        <w:spacing w:line="404" w:lineRule="atLeast"/>
        <w:ind w:firstLine="600"/>
        <w:rPr>
          <w:rFonts w:hint="eastAsia" w:ascii="仿宋" w:hAnsi="仿宋" w:eastAsia="仿宋"/>
          <w:color w:val="222222"/>
          <w:spacing w:val="10"/>
          <w:kern w:val="0"/>
          <w:sz w:val="32"/>
          <w:szCs w:val="32"/>
        </w:rPr>
      </w:pPr>
      <w:r>
        <w:rPr>
          <w:rFonts w:hint="eastAsia" w:ascii="仿宋" w:hAnsi="仿宋" w:eastAsia="仿宋"/>
          <w:color w:val="222222"/>
          <w:spacing w:val="10"/>
          <w:kern w:val="0"/>
          <w:sz w:val="32"/>
          <w:szCs w:val="32"/>
          <w:lang w:eastAsia="zh-CN"/>
        </w:rPr>
        <w:t>一、</w:t>
      </w:r>
      <w:r>
        <w:rPr>
          <w:rFonts w:hint="eastAsia" w:ascii="仿宋" w:hAnsi="仿宋" w:eastAsia="仿宋"/>
          <w:color w:val="222222"/>
          <w:spacing w:val="10"/>
          <w:kern w:val="0"/>
          <w:sz w:val="32"/>
          <w:szCs w:val="32"/>
        </w:rPr>
        <w:t>主要职能职责：</w:t>
      </w:r>
    </w:p>
    <w:p>
      <w:pPr>
        <w:widowControl/>
        <w:shd w:val="clear" w:color="auto" w:fill="FFFFFF"/>
        <w:spacing w:line="404" w:lineRule="atLeast"/>
        <w:ind w:firstLine="600"/>
        <w:rPr>
          <w:rFonts w:hint="eastAsia" w:ascii="仿宋" w:hAnsi="仿宋" w:eastAsia="仿宋"/>
          <w:color w:val="222222"/>
          <w:spacing w:val="10"/>
          <w:kern w:val="0"/>
          <w:sz w:val="32"/>
          <w:szCs w:val="32"/>
        </w:rPr>
      </w:pPr>
      <w:r>
        <w:rPr>
          <w:rFonts w:hint="eastAsia" w:ascii="仿宋" w:hAnsi="仿宋" w:eastAsia="仿宋"/>
          <w:color w:val="222222"/>
          <w:spacing w:val="10"/>
          <w:kern w:val="0"/>
          <w:sz w:val="32"/>
          <w:szCs w:val="32"/>
        </w:rPr>
        <w:t>1、认真贯彻执行各级党委、政府有关老龄工作的方针、政策，拟定我县老龄工作的发展计划和年度工作意见。</w:t>
      </w:r>
    </w:p>
    <w:p>
      <w:pPr>
        <w:widowControl/>
        <w:shd w:val="clear" w:color="auto" w:fill="FFFFFF"/>
        <w:spacing w:line="404" w:lineRule="atLeast"/>
        <w:ind w:firstLine="600"/>
        <w:rPr>
          <w:rFonts w:hint="eastAsia" w:ascii="仿宋" w:hAnsi="仿宋" w:eastAsia="仿宋"/>
          <w:color w:val="222222"/>
          <w:spacing w:val="10"/>
          <w:kern w:val="0"/>
          <w:sz w:val="32"/>
          <w:szCs w:val="32"/>
        </w:rPr>
      </w:pPr>
      <w:r>
        <w:rPr>
          <w:rFonts w:hint="eastAsia" w:ascii="仿宋" w:hAnsi="仿宋" w:eastAsia="仿宋"/>
          <w:color w:val="222222"/>
          <w:spacing w:val="10"/>
          <w:kern w:val="0"/>
          <w:sz w:val="32"/>
          <w:szCs w:val="32"/>
        </w:rPr>
        <w:t>2、宣传做好老龄工作的重大战略意义，调查研究人口老龄化的现况、发展趋势及对策，为县委、县政府制定人口老龄化对策提供决策依据。</w:t>
      </w:r>
    </w:p>
    <w:p>
      <w:pPr>
        <w:widowControl/>
        <w:shd w:val="clear" w:color="auto" w:fill="FFFFFF"/>
        <w:spacing w:line="404" w:lineRule="atLeast"/>
        <w:ind w:firstLine="600"/>
        <w:rPr>
          <w:rFonts w:hint="eastAsia" w:ascii="仿宋" w:hAnsi="仿宋" w:eastAsia="仿宋"/>
          <w:color w:val="222222"/>
          <w:spacing w:val="10"/>
          <w:kern w:val="0"/>
          <w:sz w:val="32"/>
          <w:szCs w:val="32"/>
        </w:rPr>
      </w:pPr>
      <w:r>
        <w:rPr>
          <w:rFonts w:hint="eastAsia" w:ascii="仿宋" w:hAnsi="仿宋" w:eastAsia="仿宋"/>
          <w:color w:val="222222"/>
          <w:spacing w:val="10"/>
          <w:kern w:val="0"/>
          <w:sz w:val="32"/>
          <w:szCs w:val="32"/>
        </w:rPr>
        <w:t>3、协调涉老部门和有关部门探索解决城乡社会养老保障问题和老年福利设施建设问题。</w:t>
      </w:r>
    </w:p>
    <w:p>
      <w:pPr>
        <w:widowControl/>
        <w:shd w:val="clear" w:color="auto" w:fill="FFFFFF"/>
        <w:spacing w:line="404" w:lineRule="atLeast"/>
        <w:ind w:firstLine="600"/>
        <w:rPr>
          <w:rFonts w:hint="eastAsia" w:ascii="仿宋" w:hAnsi="仿宋" w:eastAsia="仿宋"/>
          <w:color w:val="222222"/>
          <w:spacing w:val="10"/>
          <w:kern w:val="0"/>
          <w:sz w:val="32"/>
          <w:szCs w:val="32"/>
        </w:rPr>
      </w:pPr>
      <w:r>
        <w:rPr>
          <w:rFonts w:hint="eastAsia" w:ascii="仿宋" w:hAnsi="仿宋" w:eastAsia="仿宋"/>
          <w:color w:val="222222"/>
          <w:spacing w:val="10"/>
          <w:kern w:val="0"/>
          <w:sz w:val="32"/>
          <w:szCs w:val="32"/>
        </w:rPr>
        <w:t>4、组织开展老龄工作方面的重大活动，接受上级老龄部门的业务工作指导；指导、督促、检查乡镇、街道办事处及其他机关事业单位的老龄工作。</w:t>
      </w:r>
    </w:p>
    <w:p>
      <w:pPr>
        <w:widowControl/>
        <w:shd w:val="clear" w:color="auto" w:fill="FFFFFF"/>
        <w:spacing w:line="404" w:lineRule="atLeast"/>
        <w:ind w:firstLine="600"/>
        <w:rPr>
          <w:rFonts w:hint="eastAsia" w:ascii="仿宋" w:hAnsi="仿宋" w:eastAsia="仿宋"/>
          <w:color w:val="222222"/>
          <w:spacing w:val="10"/>
          <w:kern w:val="0"/>
          <w:sz w:val="32"/>
          <w:szCs w:val="32"/>
        </w:rPr>
      </w:pPr>
      <w:r>
        <w:rPr>
          <w:rFonts w:hint="eastAsia" w:ascii="仿宋" w:hAnsi="仿宋" w:eastAsia="仿宋"/>
          <w:color w:val="222222"/>
          <w:spacing w:val="10"/>
          <w:kern w:val="0"/>
          <w:sz w:val="32"/>
          <w:szCs w:val="32"/>
        </w:rPr>
        <w:t>5、组织、指导老年人参与经济和社会发展，为构建和谐社会发挥余热，再做贡献。</w:t>
      </w:r>
    </w:p>
    <w:p>
      <w:pPr>
        <w:widowControl/>
        <w:shd w:val="clear" w:color="auto" w:fill="FFFFFF"/>
        <w:spacing w:line="404" w:lineRule="atLeast"/>
        <w:ind w:firstLine="600"/>
        <w:rPr>
          <w:rFonts w:hint="eastAsia" w:ascii="仿宋" w:hAnsi="仿宋" w:eastAsia="仿宋"/>
          <w:color w:val="222222"/>
          <w:spacing w:val="10"/>
          <w:kern w:val="0"/>
          <w:sz w:val="32"/>
          <w:szCs w:val="32"/>
        </w:rPr>
      </w:pPr>
      <w:r>
        <w:rPr>
          <w:rFonts w:hint="eastAsia" w:ascii="仿宋" w:hAnsi="仿宋" w:eastAsia="仿宋"/>
          <w:color w:val="222222"/>
          <w:spacing w:val="10"/>
          <w:kern w:val="0"/>
          <w:sz w:val="32"/>
          <w:szCs w:val="32"/>
        </w:rPr>
        <w:t>6、组织开展“老人节”系列活动和其他有益于老年人健康的各种文体活动。</w:t>
      </w:r>
    </w:p>
    <w:p>
      <w:pPr>
        <w:widowControl/>
        <w:shd w:val="clear" w:color="auto" w:fill="FFFFFF"/>
        <w:spacing w:line="404" w:lineRule="atLeast"/>
        <w:ind w:firstLine="600"/>
        <w:rPr>
          <w:rFonts w:hint="eastAsia" w:ascii="仿宋" w:hAnsi="仿宋" w:eastAsia="仿宋"/>
          <w:color w:val="222222"/>
          <w:spacing w:val="10"/>
          <w:kern w:val="0"/>
          <w:sz w:val="32"/>
          <w:szCs w:val="32"/>
        </w:rPr>
      </w:pPr>
      <w:r>
        <w:rPr>
          <w:rFonts w:hint="eastAsia" w:ascii="仿宋" w:hAnsi="仿宋" w:eastAsia="仿宋"/>
          <w:color w:val="222222"/>
          <w:spacing w:val="10"/>
          <w:kern w:val="0"/>
          <w:sz w:val="32"/>
          <w:szCs w:val="32"/>
        </w:rPr>
        <w:t>7、总结表彰和宣传推介敬老、养老、老有所为和老龄工作的先进典型。</w:t>
      </w:r>
    </w:p>
    <w:p>
      <w:pPr>
        <w:widowControl/>
        <w:shd w:val="clear" w:color="auto" w:fill="FFFFFF"/>
        <w:spacing w:line="404" w:lineRule="atLeast"/>
        <w:ind w:firstLine="600"/>
        <w:rPr>
          <w:rFonts w:hint="eastAsia" w:ascii="仿宋" w:hAnsi="仿宋" w:eastAsia="仿宋"/>
          <w:color w:val="222222"/>
          <w:spacing w:val="10"/>
          <w:kern w:val="0"/>
          <w:sz w:val="32"/>
          <w:szCs w:val="32"/>
        </w:rPr>
      </w:pPr>
      <w:r>
        <w:rPr>
          <w:rFonts w:hint="eastAsia" w:ascii="仿宋" w:hAnsi="仿宋" w:eastAsia="仿宋"/>
          <w:color w:val="222222"/>
          <w:spacing w:val="10"/>
          <w:kern w:val="0"/>
          <w:sz w:val="32"/>
          <w:szCs w:val="32"/>
        </w:rPr>
        <w:t>8、抓好本部门的自身建设。</w:t>
      </w:r>
    </w:p>
    <w:p>
      <w:pPr>
        <w:widowControl/>
        <w:shd w:val="clear" w:color="auto" w:fill="FFFFFF"/>
        <w:spacing w:line="404" w:lineRule="atLeast"/>
        <w:ind w:firstLine="600"/>
        <w:rPr>
          <w:rFonts w:ascii="微软雅黑" w:hAnsi="微软雅黑" w:eastAsia="微软雅黑"/>
          <w:color w:val="222222"/>
          <w:kern w:val="0"/>
          <w:sz w:val="22"/>
        </w:rPr>
      </w:pPr>
      <w:r>
        <w:rPr>
          <w:rFonts w:hint="eastAsia" w:ascii="仿宋" w:hAnsi="仿宋" w:eastAsia="仿宋"/>
          <w:color w:val="222222"/>
          <w:spacing w:val="10"/>
          <w:kern w:val="0"/>
          <w:sz w:val="32"/>
          <w:szCs w:val="32"/>
        </w:rPr>
        <w:t>9、承办上级老龄工作委员会以及县委、县政府交办的各项工作任务和相关工作。</w:t>
      </w:r>
    </w:p>
    <w:p>
      <w:pPr>
        <w:widowControl/>
        <w:shd w:val="clear" w:color="auto" w:fill="FFFFFF"/>
        <w:spacing w:line="404" w:lineRule="atLeast"/>
        <w:ind w:firstLine="600"/>
        <w:rPr>
          <w:rFonts w:hint="eastAsia" w:ascii="仿宋" w:hAnsi="仿宋" w:eastAsia="仿宋"/>
          <w:color w:val="222222"/>
          <w:spacing w:val="10"/>
          <w:kern w:val="0"/>
          <w:sz w:val="32"/>
          <w:szCs w:val="32"/>
        </w:rPr>
      </w:pPr>
      <w:r>
        <w:rPr>
          <w:rFonts w:hint="eastAsia" w:ascii="仿宋" w:hAnsi="仿宋" w:eastAsia="仿宋"/>
          <w:color w:val="222222"/>
          <w:kern w:val="0"/>
          <w:sz w:val="30"/>
          <w:szCs w:val="30"/>
          <w:lang w:eastAsia="zh-CN"/>
        </w:rPr>
        <w:t>二、</w:t>
      </w:r>
      <w:r>
        <w:rPr>
          <w:rFonts w:hint="eastAsia" w:ascii="仿宋" w:hAnsi="仿宋" w:eastAsia="仿宋"/>
          <w:color w:val="222222"/>
          <w:spacing w:val="10"/>
          <w:kern w:val="0"/>
          <w:sz w:val="32"/>
          <w:szCs w:val="32"/>
        </w:rPr>
        <w:t>部门预算单位构成：</w:t>
      </w:r>
    </w:p>
    <w:p>
      <w:pPr>
        <w:widowControl/>
        <w:shd w:val="clear" w:color="auto" w:fill="FFFFFF"/>
        <w:spacing w:line="404" w:lineRule="atLeast"/>
        <w:ind w:firstLine="600"/>
        <w:rPr>
          <w:rFonts w:hint="eastAsia"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lang w:val="en-US"/>
        </w:rPr>
        <w:t>综合部</w:t>
      </w:r>
      <w:r>
        <w:rPr>
          <w:rFonts w:hint="eastAsia" w:ascii="仿宋" w:hAnsi="仿宋" w:eastAsia="仿宋" w:cs="宋体"/>
          <w:color w:val="222222"/>
          <w:spacing w:val="10"/>
          <w:kern w:val="0"/>
          <w:sz w:val="32"/>
          <w:szCs w:val="32"/>
          <w:lang w:val="en-US" w:eastAsia="zh-CN"/>
        </w:rPr>
        <w:t>、</w:t>
      </w:r>
      <w:r>
        <w:rPr>
          <w:rFonts w:hint="eastAsia" w:ascii="仿宋" w:hAnsi="仿宋" w:eastAsia="仿宋" w:cs="宋体"/>
          <w:color w:val="222222"/>
          <w:spacing w:val="10"/>
          <w:kern w:val="0"/>
          <w:sz w:val="32"/>
          <w:szCs w:val="32"/>
          <w:lang w:val="en-US"/>
        </w:rPr>
        <w:t>政策研究部</w:t>
      </w:r>
      <w:r>
        <w:rPr>
          <w:rFonts w:hint="eastAsia" w:ascii="仿宋" w:hAnsi="仿宋" w:eastAsia="仿宋" w:cs="宋体"/>
          <w:color w:val="222222"/>
          <w:spacing w:val="10"/>
          <w:kern w:val="0"/>
          <w:sz w:val="32"/>
          <w:szCs w:val="32"/>
          <w:lang w:val="en-US" w:eastAsia="zh-CN"/>
        </w:rPr>
        <w:t>、</w:t>
      </w:r>
      <w:r>
        <w:rPr>
          <w:rFonts w:hint="eastAsia" w:ascii="仿宋" w:hAnsi="仿宋" w:eastAsia="仿宋" w:cs="宋体"/>
          <w:color w:val="222222"/>
          <w:spacing w:val="10"/>
          <w:kern w:val="0"/>
          <w:sz w:val="32"/>
          <w:szCs w:val="32"/>
          <w:lang w:val="en-US"/>
        </w:rPr>
        <w:t>事业发展部</w:t>
      </w:r>
      <w:r>
        <w:rPr>
          <w:rFonts w:hint="eastAsia" w:ascii="仿宋" w:hAnsi="仿宋" w:eastAsia="仿宋" w:cs="宋体"/>
          <w:color w:val="222222"/>
          <w:spacing w:val="10"/>
          <w:kern w:val="0"/>
          <w:sz w:val="32"/>
          <w:szCs w:val="32"/>
          <w:lang w:val="en-US" w:eastAsia="zh-CN"/>
        </w:rPr>
        <w:t>、</w:t>
      </w:r>
      <w:r>
        <w:rPr>
          <w:rFonts w:hint="eastAsia" w:ascii="仿宋" w:hAnsi="仿宋" w:eastAsia="仿宋" w:cs="宋体"/>
          <w:color w:val="222222"/>
          <w:spacing w:val="10"/>
          <w:kern w:val="0"/>
          <w:sz w:val="32"/>
          <w:szCs w:val="32"/>
          <w:lang w:val="en-US"/>
        </w:rPr>
        <w:t>宣传部</w:t>
      </w:r>
      <w:r>
        <w:rPr>
          <w:rFonts w:hint="eastAsia" w:ascii="仿宋" w:hAnsi="仿宋" w:eastAsia="仿宋" w:cs="宋体"/>
          <w:color w:val="222222"/>
          <w:spacing w:val="10"/>
          <w:kern w:val="0"/>
          <w:sz w:val="32"/>
          <w:szCs w:val="32"/>
          <w:lang w:val="en-US" w:eastAsia="zh-CN"/>
        </w:rPr>
        <w:t>、</w:t>
      </w:r>
      <w:r>
        <w:rPr>
          <w:rFonts w:hint="eastAsia" w:ascii="仿宋" w:hAnsi="仿宋" w:eastAsia="仿宋" w:cs="宋体"/>
          <w:color w:val="222222"/>
          <w:spacing w:val="10"/>
          <w:kern w:val="0"/>
          <w:sz w:val="32"/>
          <w:szCs w:val="32"/>
          <w:lang w:val="en-US"/>
        </w:rPr>
        <w:t>办公室</w:t>
      </w:r>
    </w:p>
    <w:p>
      <w:pPr>
        <w:widowControl/>
        <w:shd w:val="clear" w:color="auto" w:fill="FFFFFF"/>
        <w:spacing w:line="404" w:lineRule="atLeast"/>
        <w:ind w:firstLine="600"/>
        <w:rPr>
          <w:rFonts w:hint="eastAsia" w:ascii="仿宋" w:hAnsi="仿宋" w:eastAsia="仿宋" w:cs="宋体"/>
          <w:color w:val="222222"/>
          <w:spacing w:val="10"/>
          <w:kern w:val="0"/>
          <w:sz w:val="32"/>
          <w:szCs w:val="32"/>
          <w:lang w:val="en-US"/>
        </w:rPr>
      </w:pPr>
      <w:bookmarkStart w:id="0" w:name="_GoBack"/>
      <w:bookmarkEnd w:id="0"/>
    </w:p>
    <w:p>
      <w:pPr>
        <w:widowControl/>
        <w:shd w:val="clear" w:color="auto" w:fill="FFFFFF"/>
        <w:spacing w:line="404" w:lineRule="atLeast"/>
        <w:ind w:firstLine="602"/>
        <w:jc w:val="center"/>
        <w:rPr>
          <w:rFonts w:ascii="微软雅黑" w:hAnsi="微软雅黑" w:eastAsia="微软雅黑"/>
          <w:color w:val="222222"/>
          <w:kern w:val="0"/>
          <w:sz w:val="22"/>
        </w:rPr>
      </w:pPr>
      <w:r>
        <w:rPr>
          <w:rFonts w:hint="eastAsia" w:ascii="仿宋" w:hAnsi="仿宋" w:eastAsia="仿宋"/>
          <w:b/>
          <w:bCs/>
          <w:color w:val="222222"/>
          <w:spacing w:val="10"/>
          <w:kern w:val="0"/>
          <w:sz w:val="32"/>
          <w:szCs w:val="32"/>
        </w:rPr>
        <w:t>第二部分</w:t>
      </w:r>
      <w:r>
        <w:rPr>
          <w:rFonts w:hint="eastAsia" w:ascii="宋体" w:hAnsi="宋体"/>
          <w:b/>
          <w:bCs/>
          <w:color w:val="222222"/>
          <w:spacing w:val="10"/>
          <w:kern w:val="0"/>
          <w:sz w:val="32"/>
          <w:szCs w:val="32"/>
        </w:rPr>
        <w:t> </w:t>
      </w:r>
      <w:r>
        <w:rPr>
          <w:rFonts w:hint="eastAsia" w:ascii="宋体" w:hAnsi="宋体"/>
          <w:b/>
          <w:bCs/>
          <w:color w:val="222222"/>
          <w:spacing w:val="10"/>
          <w:kern w:val="0"/>
          <w:sz w:val="32"/>
        </w:rPr>
        <w:t> </w:t>
      </w:r>
      <w:r>
        <w:rPr>
          <w:rFonts w:hint="eastAsia" w:ascii="仿宋" w:hAnsi="仿宋" w:eastAsia="仿宋"/>
          <w:b/>
          <w:bCs/>
          <w:color w:val="222222"/>
          <w:spacing w:val="10"/>
          <w:kern w:val="0"/>
          <w:sz w:val="32"/>
          <w:szCs w:val="32"/>
        </w:rPr>
        <w:t>2017年度预算报表</w:t>
      </w:r>
    </w:p>
    <w:p>
      <w:pPr>
        <w:widowControl/>
        <w:shd w:val="clear" w:color="auto" w:fill="FFFFFF"/>
        <w:spacing w:line="404" w:lineRule="atLeast"/>
        <w:ind w:firstLine="600"/>
        <w:rPr>
          <w:rFonts w:ascii="微软雅黑" w:hAnsi="微软雅黑" w:eastAsia="微软雅黑"/>
          <w:color w:val="222222"/>
          <w:kern w:val="0"/>
          <w:sz w:val="22"/>
        </w:rPr>
      </w:pPr>
      <w:r>
        <w:rPr>
          <w:rFonts w:hint="eastAsia" w:ascii="仿宋" w:hAnsi="仿宋" w:eastAsia="仿宋"/>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olor w:val="222222"/>
          <w:kern w:val="0"/>
          <w:sz w:val="22"/>
        </w:rPr>
      </w:pPr>
      <w:r>
        <w:rPr>
          <w:rFonts w:hint="eastAsia" w:ascii="仿宋" w:hAnsi="仿宋" w:eastAsia="仿宋"/>
          <w:b/>
          <w:bCs/>
          <w:color w:val="222222"/>
          <w:spacing w:val="10"/>
          <w:kern w:val="0"/>
          <w:sz w:val="32"/>
          <w:szCs w:val="32"/>
        </w:rPr>
        <w:t>第三部分</w:t>
      </w:r>
      <w:r>
        <w:rPr>
          <w:rFonts w:hint="eastAsia" w:ascii="宋体" w:hAnsi="宋体"/>
          <w:b/>
          <w:bCs/>
          <w:color w:val="222222"/>
          <w:spacing w:val="10"/>
          <w:kern w:val="0"/>
          <w:sz w:val="32"/>
        </w:rPr>
        <w:t> </w:t>
      </w:r>
      <w:r>
        <w:rPr>
          <w:rFonts w:hint="eastAsia" w:ascii="宋体" w:hAnsi="宋体"/>
          <w:b/>
          <w:bCs/>
          <w:color w:val="222222"/>
          <w:spacing w:val="10"/>
          <w:kern w:val="0"/>
          <w:sz w:val="32"/>
          <w:szCs w:val="32"/>
        </w:rPr>
        <w:t> </w:t>
      </w:r>
      <w:r>
        <w:rPr>
          <w:rFonts w:hint="eastAsia" w:ascii="仿宋" w:hAnsi="仿宋" w:eastAsia="仿宋" w:cs="仿宋"/>
          <w:b/>
          <w:bCs/>
          <w:color w:val="222222"/>
          <w:spacing w:val="10"/>
          <w:kern w:val="0"/>
          <w:sz w:val="32"/>
          <w:szCs w:val="32"/>
        </w:rPr>
        <w:t>2017年</w:t>
      </w:r>
      <w:r>
        <w:rPr>
          <w:rFonts w:hint="eastAsia" w:ascii="仿宋" w:hAnsi="仿宋" w:eastAsia="仿宋"/>
          <w:b/>
          <w:bCs/>
          <w:color w:val="222222"/>
          <w:spacing w:val="10"/>
          <w:kern w:val="0"/>
          <w:sz w:val="32"/>
          <w:szCs w:val="32"/>
        </w:rPr>
        <w:t>度预算情况说明</w:t>
      </w:r>
    </w:p>
    <w:p>
      <w:pPr>
        <w:widowControl/>
        <w:shd w:val="clear" w:color="auto" w:fill="FFFFFF"/>
        <w:spacing w:line="404" w:lineRule="atLeast"/>
        <w:ind w:firstLine="600"/>
        <w:rPr>
          <w:rFonts w:ascii="仿宋" w:hAnsi="仿宋" w:eastAsia="仿宋"/>
          <w:color w:val="222222"/>
          <w:spacing w:val="10"/>
          <w:kern w:val="0"/>
          <w:sz w:val="32"/>
          <w:szCs w:val="32"/>
        </w:rPr>
      </w:pPr>
      <w:r>
        <w:rPr>
          <w:rFonts w:hint="eastAsia" w:ascii="仿宋" w:hAnsi="仿宋" w:eastAsia="仿宋"/>
          <w:color w:val="222222"/>
          <w:spacing w:val="10"/>
          <w:kern w:val="0"/>
          <w:sz w:val="32"/>
          <w:szCs w:val="32"/>
        </w:rPr>
        <w:t>1、2017年度部门预算数据变动情况及原因</w:t>
      </w:r>
    </w:p>
    <w:p>
      <w:pPr>
        <w:ind w:firstLine="636"/>
        <w:rPr>
          <w:rFonts w:hint="eastAsia" w:ascii="仿宋" w:hAnsi="仿宋" w:eastAsia="仿宋"/>
          <w:color w:val="222222"/>
          <w:spacing w:val="10"/>
          <w:kern w:val="0"/>
          <w:sz w:val="32"/>
          <w:szCs w:val="32"/>
        </w:rPr>
      </w:pPr>
      <w:r>
        <w:rPr>
          <w:rFonts w:hint="eastAsia" w:ascii="仿宋" w:hAnsi="仿宋" w:eastAsia="仿宋"/>
          <w:color w:val="222222"/>
          <w:spacing w:val="10"/>
          <w:kern w:val="0"/>
          <w:sz w:val="32"/>
          <w:szCs w:val="32"/>
        </w:rPr>
        <w:t>老龄办2017年部门财政拨款预算一万零三百二十元元，和2016年无差别。</w:t>
      </w:r>
    </w:p>
    <w:p>
      <w:pPr>
        <w:ind w:firstLine="636"/>
        <w:rPr>
          <w:rFonts w:hint="eastAsia" w:ascii="仿宋" w:hAnsi="仿宋" w:eastAsia="仿宋"/>
          <w:color w:val="222222"/>
          <w:spacing w:val="10"/>
          <w:kern w:val="0"/>
          <w:sz w:val="32"/>
          <w:szCs w:val="32"/>
          <w:lang w:val="en-US" w:eastAsia="zh-CN"/>
        </w:rPr>
      </w:pPr>
      <w:r>
        <w:rPr>
          <w:rFonts w:hint="eastAsia" w:ascii="仿宋" w:hAnsi="仿宋" w:eastAsia="仿宋"/>
          <w:color w:val="222222"/>
          <w:spacing w:val="10"/>
          <w:kern w:val="0"/>
          <w:sz w:val="32"/>
          <w:szCs w:val="32"/>
          <w:lang w:val="en-US" w:eastAsia="zh-CN"/>
        </w:rPr>
        <w:t>2、“三公”经费无变动</w:t>
      </w:r>
    </w:p>
    <w:p>
      <w:pPr>
        <w:numPr>
          <w:ilvl w:val="0"/>
          <w:numId w:val="0"/>
        </w:numPr>
        <w:ind w:firstLine="680" w:firstLineChars="200"/>
        <w:rPr>
          <w:rFonts w:hint="eastAsia" w:ascii="仿宋_GB2312" w:hAnsi="仿宋" w:eastAsia="仿宋_GB2312" w:cs="宋体"/>
          <w:color w:val="222222"/>
          <w:spacing w:val="10"/>
          <w:kern w:val="0"/>
          <w:sz w:val="32"/>
          <w:szCs w:val="32"/>
        </w:rPr>
      </w:pPr>
      <w:r>
        <w:rPr>
          <w:rFonts w:hint="eastAsia" w:ascii="仿宋" w:hAnsi="仿宋" w:eastAsia="仿宋"/>
          <w:color w:val="222222"/>
          <w:spacing w:val="10"/>
          <w:kern w:val="0"/>
          <w:sz w:val="32"/>
          <w:szCs w:val="32"/>
          <w:lang w:val="en-US" w:eastAsia="zh-CN"/>
        </w:rPr>
        <w:t>3、</w:t>
      </w:r>
      <w:r>
        <w:rPr>
          <w:rFonts w:hint="eastAsia" w:ascii="仿宋_GB2312" w:hAnsi="仿宋" w:eastAsia="仿宋_GB2312" w:cs="宋体"/>
          <w:color w:val="222222"/>
          <w:spacing w:val="10"/>
          <w:kern w:val="0"/>
          <w:sz w:val="32"/>
          <w:szCs w:val="32"/>
        </w:rPr>
        <w:t>机关运行经费</w:t>
      </w:r>
      <w:r>
        <w:rPr>
          <w:rFonts w:hint="eastAsia" w:ascii="仿宋_GB2312" w:hAnsi="仿宋" w:eastAsia="仿宋_GB2312" w:cs="宋体"/>
          <w:color w:val="222222"/>
          <w:spacing w:val="10"/>
          <w:kern w:val="0"/>
          <w:sz w:val="32"/>
          <w:szCs w:val="32"/>
          <w:lang w:eastAsia="zh-CN"/>
        </w:rPr>
        <w:t>无</w:t>
      </w:r>
      <w:r>
        <w:rPr>
          <w:rFonts w:hint="eastAsia" w:ascii="仿宋_GB2312" w:hAnsi="仿宋" w:eastAsia="仿宋_GB2312" w:cs="宋体"/>
          <w:color w:val="222222"/>
          <w:spacing w:val="10"/>
          <w:kern w:val="0"/>
          <w:sz w:val="32"/>
          <w:szCs w:val="32"/>
        </w:rPr>
        <w:t>增减变动</w:t>
      </w:r>
    </w:p>
    <w:p>
      <w:pPr>
        <w:ind w:firstLine="680" w:firstLineChars="200"/>
        <w:rPr>
          <w:rFonts w:hint="eastAsia" w:ascii="仿宋" w:hAnsi="仿宋" w:eastAsia="仿宋"/>
          <w:color w:val="222222"/>
          <w:spacing w:val="10"/>
          <w:kern w:val="0"/>
          <w:sz w:val="32"/>
          <w:szCs w:val="32"/>
        </w:rPr>
      </w:pPr>
      <w:r>
        <w:rPr>
          <w:rFonts w:hint="eastAsia" w:ascii="仿宋" w:hAnsi="仿宋" w:eastAsia="仿宋"/>
          <w:color w:val="222222"/>
          <w:spacing w:val="10"/>
          <w:kern w:val="0"/>
          <w:sz w:val="32"/>
          <w:szCs w:val="32"/>
          <w:lang w:val="en-US" w:eastAsia="zh-CN"/>
        </w:rPr>
        <w:t>4、2017年</w:t>
      </w:r>
      <w:r>
        <w:rPr>
          <w:rFonts w:hint="eastAsia" w:ascii="仿宋" w:hAnsi="仿宋" w:eastAsia="仿宋"/>
          <w:color w:val="222222"/>
          <w:spacing w:val="10"/>
          <w:kern w:val="0"/>
          <w:sz w:val="32"/>
          <w:szCs w:val="32"/>
        </w:rPr>
        <w:t>无政府采购。</w:t>
      </w:r>
    </w:p>
    <w:p>
      <w:pPr>
        <w:ind w:firstLine="680" w:firstLineChars="200"/>
        <w:rPr>
          <w:rFonts w:hint="eastAsia" w:ascii="仿宋" w:hAnsi="仿宋" w:eastAsia="仿宋"/>
          <w:color w:val="222222"/>
          <w:spacing w:val="10"/>
          <w:kern w:val="0"/>
          <w:sz w:val="32"/>
          <w:szCs w:val="32"/>
          <w:lang w:eastAsia="zh-CN"/>
        </w:rPr>
      </w:pPr>
      <w:r>
        <w:rPr>
          <w:rFonts w:hint="eastAsia" w:ascii="仿宋" w:hAnsi="仿宋" w:eastAsia="仿宋"/>
          <w:color w:val="222222"/>
          <w:spacing w:val="10"/>
          <w:kern w:val="0"/>
          <w:sz w:val="32"/>
          <w:szCs w:val="32"/>
          <w:lang w:val="en-US" w:eastAsia="zh-CN"/>
        </w:rPr>
        <w:t>5、</w:t>
      </w:r>
      <w:r>
        <w:rPr>
          <w:rFonts w:hint="eastAsia" w:ascii="仿宋" w:hAnsi="仿宋" w:eastAsia="仿宋"/>
          <w:color w:val="222222"/>
          <w:spacing w:val="10"/>
          <w:kern w:val="0"/>
          <w:sz w:val="32"/>
          <w:szCs w:val="32"/>
          <w:lang w:eastAsia="zh-CN"/>
        </w:rPr>
        <w:t>其他说明：无</w:t>
      </w:r>
    </w:p>
    <w:p>
      <w:pPr>
        <w:widowControl/>
        <w:shd w:val="clear" w:color="auto" w:fill="FFFFFF"/>
        <w:spacing w:line="404" w:lineRule="atLeast"/>
        <w:jc w:val="center"/>
        <w:rPr>
          <w:rFonts w:ascii="微软雅黑" w:hAnsi="微软雅黑" w:eastAsia="微软雅黑"/>
          <w:color w:val="222222"/>
          <w:kern w:val="0"/>
          <w:sz w:val="22"/>
        </w:rPr>
      </w:pPr>
      <w:r>
        <w:rPr>
          <w:rFonts w:hint="eastAsia" w:ascii="仿宋" w:hAnsi="仿宋" w:eastAsia="仿宋"/>
          <w:b/>
          <w:bCs/>
          <w:color w:val="222222"/>
          <w:kern w:val="0"/>
          <w:sz w:val="30"/>
          <w:szCs w:val="30"/>
        </w:rPr>
        <w:t>第四部分</w:t>
      </w:r>
      <w:r>
        <w:rPr>
          <w:rFonts w:hint="eastAsia" w:ascii="宋体" w:hAnsi="宋体"/>
          <w:b/>
          <w:bCs/>
          <w:color w:val="222222"/>
          <w:kern w:val="0"/>
          <w:sz w:val="30"/>
          <w:szCs w:val="30"/>
        </w:rPr>
        <w:t>  </w:t>
      </w:r>
      <w:r>
        <w:rPr>
          <w:rFonts w:hint="eastAsia" w:ascii="宋体" w:hAnsi="宋体"/>
          <w:b/>
          <w:bCs/>
          <w:color w:val="222222"/>
          <w:kern w:val="0"/>
          <w:sz w:val="30"/>
        </w:rPr>
        <w:t> </w:t>
      </w:r>
      <w:r>
        <w:rPr>
          <w:rFonts w:hint="eastAsia" w:ascii="仿宋" w:hAnsi="仿宋" w:eastAsia="仿宋"/>
          <w:b/>
          <w:bCs/>
          <w:color w:val="222222"/>
          <w:kern w:val="0"/>
          <w:sz w:val="30"/>
          <w:szCs w:val="30"/>
        </w:rPr>
        <w:t>名词解释</w:t>
      </w:r>
    </w:p>
    <w:p>
      <w:pPr>
        <w:autoSpaceDE w:val="0"/>
        <w:autoSpaceDN w:val="0"/>
        <w:adjustRightInd w:val="0"/>
        <w:ind w:firstLine="680" w:firstLineChars="200"/>
        <w:rPr>
          <w:rFonts w:ascii="仿宋" w:hAnsi="仿宋" w:eastAsia="仿宋"/>
          <w:color w:val="222222"/>
          <w:spacing w:val="10"/>
          <w:kern w:val="0"/>
          <w:sz w:val="32"/>
          <w:szCs w:val="32"/>
        </w:rPr>
      </w:pPr>
      <w:r>
        <w:rPr>
          <w:rFonts w:hint="eastAsia" w:ascii="仿宋" w:hAnsi="仿宋" w:eastAsia="仿宋"/>
          <w:color w:val="222222"/>
          <w:spacing w:val="10"/>
          <w:kern w:val="0"/>
          <w:sz w:val="32"/>
          <w:szCs w:val="32"/>
        </w:rPr>
        <w:t>（1）基本支出：指为保障机构正常运转、完成日常</w:t>
      </w:r>
    </w:p>
    <w:p>
      <w:pPr>
        <w:autoSpaceDE w:val="0"/>
        <w:autoSpaceDN w:val="0"/>
        <w:adjustRightInd w:val="0"/>
        <w:rPr>
          <w:rFonts w:ascii="仿宋" w:hAnsi="仿宋" w:eastAsia="仿宋"/>
          <w:color w:val="222222"/>
          <w:spacing w:val="10"/>
          <w:kern w:val="0"/>
          <w:sz w:val="32"/>
          <w:szCs w:val="32"/>
        </w:rPr>
      </w:pPr>
      <w:r>
        <w:rPr>
          <w:rFonts w:hint="eastAsia" w:ascii="仿宋" w:hAnsi="仿宋" w:eastAsia="仿宋"/>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olor w:val="222222"/>
          <w:spacing w:val="10"/>
          <w:kern w:val="0"/>
          <w:sz w:val="32"/>
          <w:szCs w:val="32"/>
        </w:rPr>
      </w:pPr>
      <w:r>
        <w:rPr>
          <w:rFonts w:hint="eastAsia" w:ascii="仿宋" w:hAnsi="仿宋" w:eastAsia="仿宋"/>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olor w:val="222222"/>
          <w:spacing w:val="10"/>
          <w:kern w:val="0"/>
          <w:sz w:val="32"/>
          <w:szCs w:val="32"/>
        </w:rPr>
      </w:pPr>
      <w:r>
        <w:rPr>
          <w:rFonts w:hint="eastAsia" w:ascii="仿宋" w:hAnsi="仿宋" w:eastAsia="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olor w:val="222222"/>
          <w:spacing w:val="10"/>
          <w:kern w:val="0"/>
          <w:sz w:val="32"/>
          <w:szCs w:val="32"/>
        </w:rPr>
      </w:pPr>
      <w:r>
        <w:rPr>
          <w:rFonts w:hint="eastAsia" w:ascii="仿宋" w:hAnsi="仿宋" w:eastAsia="仿宋"/>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olor w:val="222222"/>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71054"/>
    <w:rsid w:val="00271054"/>
    <w:rsid w:val="004F19CC"/>
    <w:rsid w:val="004F4361"/>
    <w:rsid w:val="36C7206D"/>
    <w:rsid w:val="72441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character" w:customStyle="1" w:styleId="4">
    <w:name w:val="apple-converted-space"/>
    <w:basedOn w:val="2"/>
    <w:uiPriority w:val="0"/>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137</Words>
  <Characters>785</Characters>
  <Lines>6</Lines>
  <Paragraphs>1</Paragraphs>
  <TotalTime>0</TotalTime>
  <ScaleCrop>false</ScaleCrop>
  <LinksUpToDate>false</LinksUpToDate>
  <CharactersWithSpaces>921</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Administrator</cp:lastModifiedBy>
  <dcterms:modified xsi:type="dcterms:W3CDTF">2018-11-16T03:47:18Z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