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04" w:lineRule="atLeast"/>
        <w:jc w:val="center"/>
        <w:rPr>
          <w:rFonts w:ascii="黑体" w:eastAsia="黑体"/>
          <w:sz w:val="36"/>
          <w:szCs w:val="36"/>
        </w:rPr>
      </w:pPr>
      <w:bookmarkStart w:id="0" w:name="_GoBack"/>
      <w:bookmarkEnd w:id="0"/>
      <w:r>
        <w:rPr>
          <w:rFonts w:hint="eastAsia" w:ascii="黑体" w:eastAsia="黑体"/>
          <w:sz w:val="36"/>
          <w:szCs w:val="36"/>
        </w:rPr>
        <w:t>霍永高速公路永和至永和关段征地拆迁指挥部</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仿宋" w:hAnsi="仿宋" w:eastAsia="仿宋" w:cs="宋体"/>
          <w:b/>
          <w:bCs/>
          <w:color w:val="222222"/>
          <w:kern w:val="0"/>
          <w:sz w:val="36"/>
          <w:szCs w:val="36"/>
        </w:rPr>
        <w:t>2017</w:t>
      </w:r>
      <w:r>
        <w:rPr>
          <w:rFonts w:hint="eastAsia" w:ascii="仿宋" w:hAnsi="仿宋" w:eastAsia="仿宋" w:cs="宋体"/>
          <w:b/>
          <w:bCs/>
          <w:color w:val="222222"/>
          <w:spacing w:val="10"/>
          <w:kern w:val="0"/>
          <w:sz w:val="36"/>
          <w:szCs w:val="36"/>
        </w:rPr>
        <w:t>年度部门预算情况说明</w:t>
      </w:r>
    </w:p>
    <w:p>
      <w:pPr>
        <w:widowControl/>
        <w:shd w:val="clear" w:color="auto" w:fill="FFFFFF"/>
        <w:spacing w:line="404" w:lineRule="atLeast"/>
        <w:jc w:val="center"/>
        <w:rPr>
          <w:rFonts w:ascii="微软雅黑" w:hAnsi="微软雅黑" w:eastAsia="微软雅黑" w:cs="宋体"/>
          <w:color w:val="222222"/>
          <w:kern w:val="0"/>
          <w:sz w:val="22"/>
        </w:rPr>
      </w:pPr>
      <w:r>
        <w:rPr>
          <w:rFonts w:hint="eastAsia" w:ascii="宋体" w:hAnsi="宋体" w:eastAsia="宋体" w:cs="宋体"/>
          <w:color w:val="222222"/>
          <w:kern w:val="0"/>
          <w:sz w:val="44"/>
          <w:szCs w:val="44"/>
        </w:rPr>
        <w:t> </w:t>
      </w:r>
    </w:p>
    <w:p>
      <w:pPr>
        <w:widowControl/>
        <w:shd w:val="clear" w:color="auto" w:fill="FFFFFF"/>
        <w:spacing w:line="404" w:lineRule="atLeast"/>
        <w:ind w:firstLine="562"/>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第一部分  概况</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kern w:val="0"/>
          <w:sz w:val="32"/>
          <w:szCs w:val="32"/>
        </w:rPr>
        <w:t>1、</w:t>
      </w:r>
      <w:r>
        <w:rPr>
          <w:rFonts w:hint="eastAsia" w:ascii="仿宋" w:hAnsi="仿宋" w:eastAsia="仿宋" w:cs="仿宋"/>
          <w:color w:val="222222"/>
          <w:spacing w:val="10"/>
          <w:kern w:val="0"/>
          <w:sz w:val="32"/>
          <w:szCs w:val="32"/>
        </w:rPr>
        <w:t>主要职能职责：</w:t>
      </w:r>
    </w:p>
    <w:p>
      <w:pPr>
        <w:ind w:firstLine="640" w:firstLineChars="200"/>
        <w:rPr>
          <w:rFonts w:hint="eastAsia" w:ascii="仿宋" w:hAnsi="仿宋" w:eastAsia="仿宋" w:cs="仿宋"/>
          <w:sz w:val="32"/>
          <w:szCs w:val="32"/>
        </w:rPr>
      </w:pPr>
      <w:r>
        <w:rPr>
          <w:rFonts w:hint="eastAsia" w:ascii="仿宋" w:hAnsi="仿宋" w:eastAsia="仿宋" w:cs="仿宋"/>
          <w:sz w:val="32"/>
          <w:szCs w:val="32"/>
        </w:rPr>
        <w:t>霍永高速公路永和至永和关段征地拆迁指挥部依据征地拆迁相关法律、法规、政策，结合当地实际，负责</w:t>
      </w:r>
      <w:r>
        <w:rPr>
          <w:rFonts w:hint="eastAsia" w:ascii="仿宋" w:hAnsi="仿宋" w:eastAsia="仿宋" w:cs="仿宋"/>
          <w:sz w:val="32"/>
          <w:szCs w:val="32"/>
          <w:lang w:val="en-US" w:eastAsia="zh-CN"/>
        </w:rPr>
        <w:t>协调</w:t>
      </w:r>
      <w:r>
        <w:rPr>
          <w:rFonts w:hint="eastAsia" w:ascii="仿宋" w:hAnsi="仿宋" w:eastAsia="仿宋" w:cs="仿宋"/>
          <w:sz w:val="32"/>
          <w:szCs w:val="32"/>
        </w:rPr>
        <w:t>霍永高速公路永和至永和关段征地拆</w:t>
      </w:r>
      <w:r>
        <w:rPr>
          <w:rFonts w:hint="eastAsia" w:ascii="仿宋" w:hAnsi="仿宋" w:eastAsia="仿宋" w:cs="仿宋"/>
          <w:sz w:val="32"/>
          <w:szCs w:val="32"/>
          <w:lang w:val="en-US" w:eastAsia="zh-CN"/>
        </w:rPr>
        <w:t>事项</w:t>
      </w:r>
      <w:r>
        <w:rPr>
          <w:rFonts w:hint="eastAsia" w:ascii="仿宋" w:hAnsi="仿宋" w:eastAsia="仿宋" w:cs="仿宋"/>
          <w:sz w:val="32"/>
          <w:szCs w:val="32"/>
        </w:rPr>
        <w:t>、征地资金规范化管理，协调解决全县征地拆迁工作中遇到的突出问题，保障霍永高速公路征地拆迁工作的顺利进行。</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部门预算单位构成：</w:t>
      </w:r>
    </w:p>
    <w:p>
      <w:pPr>
        <w:widowControl/>
        <w:spacing w:before="100" w:beforeAutospacing="1" w:after="100" w:afterAutospacing="1"/>
        <w:ind w:firstLine="707" w:firstLineChars="221"/>
        <w:rPr>
          <w:rFonts w:hint="eastAsia" w:ascii="仿宋" w:hAnsi="仿宋" w:eastAsia="仿宋" w:cs="仿宋"/>
          <w:color w:val="222222"/>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000000"/>
          <w:kern w:val="0"/>
          <w:sz w:val="32"/>
          <w:szCs w:val="32"/>
        </w:rPr>
        <w:t>为临时机构</w:t>
      </w:r>
      <w:r>
        <w:rPr>
          <w:rFonts w:hint="eastAsia" w:ascii="仿宋" w:hAnsi="仿宋" w:eastAsia="仿宋" w:cs="仿宋"/>
          <w:color w:val="000000"/>
          <w:kern w:val="0"/>
          <w:sz w:val="32"/>
          <w:szCs w:val="32"/>
          <w:lang w:eastAsia="zh-CN"/>
        </w:rPr>
        <w:t>，</w:t>
      </w:r>
      <w:r>
        <w:rPr>
          <w:rFonts w:hint="eastAsia" w:ascii="仿宋" w:hAnsi="仿宋" w:eastAsia="仿宋" w:cs="仿宋"/>
          <w:color w:val="000000"/>
          <w:kern w:val="0"/>
          <w:sz w:val="32"/>
          <w:szCs w:val="32"/>
          <w:lang w:val="en-US" w:eastAsia="zh-CN"/>
        </w:rPr>
        <w:t>机构</w:t>
      </w:r>
      <w:r>
        <w:rPr>
          <w:rFonts w:hint="eastAsia" w:ascii="仿宋" w:hAnsi="仿宋" w:eastAsia="仿宋" w:cs="仿宋"/>
          <w:color w:val="000000"/>
          <w:kern w:val="0"/>
          <w:sz w:val="32"/>
          <w:szCs w:val="32"/>
        </w:rPr>
        <w:t>数为1个。</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第二部分  2017年度部门预算报表</w:t>
      </w:r>
    </w:p>
    <w:p>
      <w:pPr>
        <w:widowControl/>
        <w:shd w:val="clear" w:color="auto" w:fill="FFFFFF"/>
        <w:spacing w:line="404" w:lineRule="atLeast"/>
        <w:ind w:firstLine="600"/>
        <w:rPr>
          <w:rFonts w:hint="eastAsia" w:ascii="仿宋" w:hAnsi="仿宋" w:eastAsia="仿宋" w:cs="仿宋"/>
          <w:color w:val="222222"/>
          <w:kern w:val="0"/>
          <w:sz w:val="32"/>
          <w:szCs w:val="32"/>
        </w:rPr>
      </w:pPr>
      <w:r>
        <w:rPr>
          <w:rFonts w:hint="eastAsia" w:ascii="仿宋" w:hAnsi="仿宋" w:eastAsia="仿宋" w:cs="仿宋"/>
          <w:color w:val="222222"/>
          <w:spacing w:val="10"/>
          <w:kern w:val="0"/>
          <w:sz w:val="32"/>
          <w:szCs w:val="32"/>
        </w:rPr>
        <w:t>本部分内容见附表。</w:t>
      </w:r>
    </w:p>
    <w:p>
      <w:pPr>
        <w:widowControl/>
        <w:shd w:val="clear" w:color="auto" w:fill="FFFFFF"/>
        <w:spacing w:line="404" w:lineRule="atLeast"/>
        <w:ind w:firstLine="602"/>
        <w:jc w:val="center"/>
        <w:rPr>
          <w:rFonts w:hint="eastAsia" w:ascii="仿宋" w:hAnsi="仿宋" w:eastAsia="仿宋" w:cs="仿宋"/>
          <w:color w:val="222222"/>
          <w:kern w:val="0"/>
          <w:sz w:val="32"/>
          <w:szCs w:val="32"/>
        </w:rPr>
      </w:pPr>
      <w:r>
        <w:rPr>
          <w:rFonts w:hint="eastAsia" w:ascii="仿宋" w:hAnsi="仿宋" w:eastAsia="仿宋" w:cs="仿宋"/>
          <w:b/>
          <w:bCs/>
          <w:color w:val="222222"/>
          <w:spacing w:val="10"/>
          <w:kern w:val="0"/>
          <w:sz w:val="32"/>
          <w:szCs w:val="32"/>
        </w:rPr>
        <w:t>第三部分  2017年度部门预算情况说明</w:t>
      </w:r>
    </w:p>
    <w:p>
      <w:pPr>
        <w:widowControl/>
        <w:shd w:val="clear" w:color="auto" w:fill="FFFFFF"/>
        <w:spacing w:line="404" w:lineRule="atLeast"/>
        <w:ind w:firstLine="6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1、2017年度部门预算数据变动情况及原因</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2017年部门财政拨款预算15万元，与2016年预算无变动。</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2、</w:t>
      </w:r>
      <w:r>
        <w:rPr>
          <w:rFonts w:hint="eastAsia" w:ascii="仿宋" w:hAnsi="仿宋" w:eastAsia="仿宋" w:cs="仿宋"/>
          <w:color w:val="222222"/>
          <w:spacing w:val="10"/>
          <w:kern w:val="0"/>
          <w:sz w:val="32"/>
          <w:szCs w:val="32"/>
        </w:rPr>
        <w:t>“三公”经费增减变动原因说明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2017年无“三公”经费财政拨款预算。</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rPr>
        <w:t>3、</w:t>
      </w:r>
      <w:r>
        <w:rPr>
          <w:rFonts w:hint="eastAsia" w:ascii="仿宋" w:hAnsi="仿宋" w:eastAsia="仿宋" w:cs="仿宋"/>
          <w:color w:val="222222"/>
          <w:spacing w:val="10"/>
          <w:kern w:val="0"/>
          <w:sz w:val="32"/>
          <w:szCs w:val="32"/>
        </w:rPr>
        <w:t>机关运行经费增减变动原因说明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sz w:val="32"/>
          <w:szCs w:val="32"/>
        </w:rPr>
        <w:t>霍永高速公路</w:t>
      </w:r>
      <w:r>
        <w:rPr>
          <w:rFonts w:hint="eastAsia" w:ascii="仿宋" w:hAnsi="仿宋" w:eastAsia="仿宋" w:cs="仿宋"/>
          <w:color w:val="222222"/>
          <w:spacing w:val="10"/>
          <w:kern w:val="0"/>
          <w:sz w:val="32"/>
          <w:szCs w:val="32"/>
        </w:rPr>
        <w:t>2017年机关运行经费财政拨款预算</w:t>
      </w:r>
      <w:r>
        <w:rPr>
          <w:rFonts w:hint="eastAsia" w:ascii="仿宋" w:hAnsi="仿宋" w:eastAsia="仿宋" w:cs="仿宋"/>
          <w:color w:val="222222"/>
          <w:spacing w:val="10"/>
          <w:kern w:val="0"/>
          <w:sz w:val="32"/>
          <w:szCs w:val="32"/>
          <w:lang w:val="en-US" w:eastAsia="zh-CN"/>
        </w:rPr>
        <w:t>15</w:t>
      </w:r>
      <w:r>
        <w:rPr>
          <w:rFonts w:hint="eastAsia" w:ascii="仿宋" w:hAnsi="仿宋" w:eastAsia="仿宋" w:cs="仿宋"/>
          <w:color w:val="222222"/>
          <w:spacing w:val="10"/>
          <w:kern w:val="0"/>
          <w:sz w:val="32"/>
          <w:szCs w:val="32"/>
        </w:rPr>
        <w:t>万元。</w:t>
      </w:r>
    </w:p>
    <w:p>
      <w:pPr>
        <w:widowControl/>
        <w:shd w:val="clear" w:color="auto" w:fill="FFFFFF"/>
        <w:spacing w:line="404" w:lineRule="atLeast"/>
        <w:rPr>
          <w:rFonts w:hint="eastAsia" w:ascii="仿宋" w:hAnsi="仿宋" w:eastAsia="仿宋" w:cs="仿宋"/>
          <w:color w:val="222222"/>
          <w:spacing w:val="10"/>
          <w:kern w:val="0"/>
          <w:sz w:val="32"/>
          <w:szCs w:val="32"/>
        </w:rPr>
      </w:pPr>
      <w:r>
        <w:rPr>
          <w:rFonts w:hint="eastAsia" w:ascii="仿宋" w:hAnsi="仿宋" w:eastAsia="仿宋" w:cs="仿宋"/>
          <w:color w:val="222222"/>
          <w:kern w:val="0"/>
          <w:sz w:val="32"/>
          <w:szCs w:val="32"/>
          <w:lang w:val="en-US" w:eastAsia="zh-CN"/>
        </w:rPr>
        <w:t xml:space="preserve">    </w:t>
      </w:r>
      <w:r>
        <w:rPr>
          <w:rFonts w:hint="eastAsia" w:ascii="仿宋" w:hAnsi="仿宋" w:eastAsia="仿宋" w:cs="仿宋"/>
          <w:color w:val="222222"/>
          <w:kern w:val="0"/>
          <w:sz w:val="32"/>
          <w:szCs w:val="32"/>
        </w:rPr>
        <w:t>4、</w:t>
      </w:r>
      <w:r>
        <w:rPr>
          <w:rFonts w:hint="eastAsia" w:ascii="仿宋" w:hAnsi="仿宋" w:eastAsia="仿宋" w:cs="仿宋"/>
          <w:color w:val="222222"/>
          <w:spacing w:val="10"/>
          <w:kern w:val="0"/>
          <w:sz w:val="32"/>
          <w:szCs w:val="32"/>
        </w:rPr>
        <w:t>其他说明</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（1）政府采购情况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w:t>
      </w: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无县级预算政府采购项目。</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（2）政府购买服务指导性目录</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（3）国有资产占有使用情况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1.车辆情况：</w:t>
      </w:r>
      <w:r>
        <w:rPr>
          <w:rFonts w:hint="eastAsia" w:ascii="仿宋" w:hAnsi="仿宋" w:eastAsia="仿宋" w:cs="仿宋"/>
          <w:sz w:val="32"/>
          <w:szCs w:val="32"/>
        </w:rPr>
        <w:t>征地拆迁指挥部</w:t>
      </w:r>
      <w:r>
        <w:rPr>
          <w:rFonts w:hint="eastAsia" w:ascii="仿宋" w:hAnsi="仿宋" w:eastAsia="仿宋" w:cs="仿宋"/>
          <w:color w:val="222222"/>
          <w:spacing w:val="10"/>
          <w:kern w:val="0"/>
          <w:sz w:val="32"/>
          <w:szCs w:val="32"/>
        </w:rPr>
        <w:t>无公务用车。</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2.其他国有资产占有使用情况。办公设备资产2.1万元。</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（4）绩效管理情况</w:t>
      </w:r>
    </w:p>
    <w:p>
      <w:pPr>
        <w:ind w:firstLine="636"/>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2017年无绩效管理项目。</w:t>
      </w:r>
    </w:p>
    <w:p>
      <w:pPr>
        <w:widowControl/>
        <w:shd w:val="clear" w:color="auto" w:fill="FFFFFF"/>
        <w:spacing w:line="404" w:lineRule="atLeast"/>
        <w:jc w:val="center"/>
        <w:rPr>
          <w:rFonts w:hint="eastAsia" w:ascii="仿宋" w:hAnsi="仿宋" w:eastAsia="仿宋" w:cs="仿宋"/>
          <w:color w:val="222222"/>
          <w:kern w:val="0"/>
          <w:sz w:val="32"/>
          <w:szCs w:val="32"/>
        </w:rPr>
      </w:pPr>
      <w:r>
        <w:rPr>
          <w:rFonts w:hint="eastAsia" w:ascii="仿宋" w:hAnsi="仿宋" w:eastAsia="仿宋" w:cs="仿宋"/>
          <w:b/>
          <w:bCs/>
          <w:color w:val="222222"/>
          <w:kern w:val="0"/>
          <w:sz w:val="32"/>
          <w:szCs w:val="32"/>
        </w:rPr>
        <w:t>第四部分   名词解释</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（1）基本支出：指为保障机构正常运转、完成日常</w:t>
      </w:r>
    </w:p>
    <w:p>
      <w:pPr>
        <w:autoSpaceDE w:val="0"/>
        <w:autoSpaceDN w:val="0"/>
        <w:adjustRightInd w:val="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工作任务而发生的人员支出和公用支出。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（2）项目支出：指在基本支出之外为完成特定行政任务和事业发展目标所发生的支出。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3）“三公”经费：指市直部门用一般公共预算安排的因公出国（境）费、公务用车购置及运行费和公务接待费。其中，因公出国（境）费反映单位公务出国（境）的国际旅费、国外城市间交通费、住宿费、伙食费、培训费、公杂费等支出；公务用车购置费反映公务用车车辆购置支出（含车辆购置税）；公务用车运行维护费反映单位按规定保留的公务用车燃料费、维修费、过路过桥费、保险费、安全奖励费用等支出；公务接待费反映单位按规定开支的各类公务接待（含外宾接待）支出。</w:t>
      </w:r>
    </w:p>
    <w:p>
      <w:pPr>
        <w:autoSpaceDE w:val="0"/>
        <w:autoSpaceDN w:val="0"/>
        <w:adjustRightInd w:val="0"/>
        <w:ind w:firstLine="680" w:firstLineChars="200"/>
        <w:rPr>
          <w:rFonts w:hint="eastAsia" w:ascii="仿宋" w:hAnsi="仿宋" w:eastAsia="仿宋" w:cs="仿宋"/>
          <w:color w:val="222222"/>
          <w:spacing w:val="10"/>
          <w:kern w:val="0"/>
          <w:sz w:val="32"/>
          <w:szCs w:val="32"/>
        </w:rPr>
      </w:pPr>
      <w:r>
        <w:rPr>
          <w:rFonts w:hint="eastAsia" w:ascii="仿宋" w:hAnsi="仿宋" w:eastAsia="仿宋" w:cs="仿宋"/>
          <w:color w:val="222222"/>
          <w:spacing w:val="10"/>
          <w:kern w:val="0"/>
          <w:sz w:val="32"/>
          <w:szCs w:val="32"/>
        </w:rPr>
        <w:t>（4）机关运行经费：指行政单位和参照公务员法管理的事业单位使用一般公共预算安排的基本支出中的日常公用经费支出。</w:t>
      </w:r>
    </w:p>
    <w:p>
      <w:pPr>
        <w:ind w:firstLine="636"/>
        <w:rPr>
          <w:rFonts w:ascii="仿宋_GB2312" w:hAnsi="仿宋" w:eastAsia="仿宋_GB2312" w:cs="宋体"/>
          <w:color w:val="222222"/>
          <w:spacing w:val="10"/>
          <w:kern w:val="0"/>
          <w:sz w:val="32"/>
          <w:szCs w:val="32"/>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121EF"/>
    <w:rsid w:val="001A59CA"/>
    <w:rsid w:val="001D5F82"/>
    <w:rsid w:val="002513BA"/>
    <w:rsid w:val="002A7A3B"/>
    <w:rsid w:val="002C696F"/>
    <w:rsid w:val="004121EF"/>
    <w:rsid w:val="004F07EF"/>
    <w:rsid w:val="00546EDA"/>
    <w:rsid w:val="005A4A16"/>
    <w:rsid w:val="006762C7"/>
    <w:rsid w:val="007937DA"/>
    <w:rsid w:val="00983C7E"/>
    <w:rsid w:val="00A563B5"/>
    <w:rsid w:val="00C146FA"/>
    <w:rsid w:val="00D22E46"/>
    <w:rsid w:val="00DF6E62"/>
    <w:rsid w:val="00EF4416"/>
    <w:rsid w:val="00FC5F55"/>
    <w:rsid w:val="0EF851D4"/>
    <w:rsid w:val="12AF5C4F"/>
    <w:rsid w:val="2C8969D5"/>
    <w:rsid w:val="4E3B6788"/>
    <w:rsid w:val="6CED40E8"/>
    <w:rsid w:val="767C277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4">
    <w:name w:val="Default Paragraph Font"/>
    <w:unhideWhenUsed/>
    <w:qFormat/>
    <w:uiPriority w:val="1"/>
  </w:style>
  <w:style w:type="table" w:default="1" w:styleId="5">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apple-converted-space"/>
    <w:basedOn w:val="4"/>
    <w:qFormat/>
    <w:uiPriority w:val="0"/>
  </w:style>
  <w:style w:type="paragraph" w:customStyle="1" w:styleId="7">
    <w:name w:val="List Paragraph"/>
    <w:basedOn w:val="1"/>
    <w:qFormat/>
    <w:uiPriority w:val="34"/>
    <w:pPr>
      <w:ind w:firstLine="420" w:firstLineChars="200"/>
    </w:pPr>
  </w:style>
  <w:style w:type="character" w:customStyle="1" w:styleId="8">
    <w:name w:val="页眉 Char"/>
    <w:basedOn w:val="4"/>
    <w:link w:val="3"/>
    <w:qFormat/>
    <w:uiPriority w:val="99"/>
    <w:rPr>
      <w:sz w:val="18"/>
      <w:szCs w:val="18"/>
    </w:rPr>
  </w:style>
  <w:style w:type="character" w:customStyle="1" w:styleId="9">
    <w:name w:val="页脚 Char"/>
    <w:basedOn w:val="4"/>
    <w:link w:val="2"/>
    <w:qFormat/>
    <w:uiPriority w:val="99"/>
    <w:rPr>
      <w:sz w:val="18"/>
      <w:szCs w:val="18"/>
    </w:rPr>
  </w:style>
  <w:style w:type="paragraph" w:customStyle="1" w:styleId="10">
    <w:name w:val="默认段落字体 Para Char Char Char Char Char Char1"/>
    <w:basedOn w:val="1"/>
    <w:qFormat/>
    <w:uiPriority w:val="0"/>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130</Words>
  <Characters>745</Characters>
  <Lines>6</Lines>
  <Paragraphs>1</Paragraphs>
  <TotalTime>44</TotalTime>
  <ScaleCrop>false</ScaleCrop>
  <LinksUpToDate>false</LinksUpToDate>
  <CharactersWithSpaces>874</CharactersWithSpaces>
  <Application>WPS Office_10.1.0.7521_F1E327BC-269C-435d-A152-05C5408002CA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2017-03-29T03:26:00Z</dcterms:created>
  <dc:creator>dreamsummit</dc:creator>
  <cp:lastModifiedBy>Administrator</cp:lastModifiedBy>
  <dcterms:modified xsi:type="dcterms:W3CDTF">2018-11-15T01:32:06Z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2052-10.1.0.7521</vt:lpwstr>
  </property>
</Properties>
</file>