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atLeast"/>
        <w:ind w:firstLine="640"/>
        <w:jc w:val="center"/>
        <w:rPr>
          <w:rFonts w:ascii="仿宋_GB2312" w:hAnsi="Times New Roman" w:eastAsia="仿宋_GB2312" w:cs="Times New Roman"/>
          <w:b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6"/>
          <w:szCs w:val="36"/>
        </w:rPr>
        <w:t>永和县发展和改革局</w:t>
      </w:r>
      <w:bookmarkEnd w:id="0"/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6"/>
          <w:szCs w:val="36"/>
        </w:rPr>
        <w:t>部门决算说明</w:t>
      </w:r>
    </w:p>
    <w:p>
      <w:pPr>
        <w:widowControl/>
        <w:spacing w:line="500" w:lineRule="atLeast"/>
        <w:ind w:firstLine="640"/>
        <w:jc w:val="center"/>
        <w:rPr>
          <w:rFonts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500" w:lineRule="atLeast"/>
        <w:ind w:firstLine="640"/>
        <w:jc w:val="center"/>
        <w:rPr>
          <w:rFonts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6"/>
          <w:szCs w:val="36"/>
        </w:rPr>
        <w:t>第一部分 概况</w:t>
      </w:r>
    </w:p>
    <w:p>
      <w:pPr>
        <w:widowControl/>
        <w:spacing w:line="500" w:lineRule="atLeast"/>
        <w:ind w:firstLine="640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一、主要职能</w:t>
      </w:r>
    </w:p>
    <w:p>
      <w:pPr>
        <w:widowControl/>
        <w:spacing w:line="500" w:lineRule="atLeas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贯彻执行有关经济社会发展的方针政策和法律法规；负责经济运行监测和经济发展趋势预测、预警和形势分析并提出政策建议；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负责社会发展与国民经济发展的政策衔接；承办县政府交办的其他事项。</w:t>
      </w:r>
    </w:p>
    <w:p>
      <w:pPr>
        <w:widowControl/>
        <w:spacing w:line="528" w:lineRule="auto"/>
        <w:ind w:firstLine="642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二、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部门决算单位构成 </w:t>
      </w:r>
    </w:p>
    <w:p>
      <w:pPr>
        <w:widowControl/>
        <w:spacing w:line="528" w:lineRule="auto"/>
        <w:ind w:firstLine="64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2017年度决算编制范围为一级预算单位1个。</w:t>
      </w:r>
    </w:p>
    <w:p>
      <w:pPr>
        <w:widowControl/>
        <w:spacing w:line="528" w:lineRule="auto"/>
        <w:ind w:firstLine="642"/>
        <w:jc w:val="center"/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第二部分 2017年度部门决算报表</w:t>
      </w:r>
    </w:p>
    <w:p>
      <w:pPr>
        <w:widowControl/>
        <w:spacing w:line="528" w:lineRule="auto"/>
        <w:ind w:firstLine="64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此部分内容见附表</w:t>
      </w:r>
    </w:p>
    <w:p>
      <w:pPr>
        <w:widowControl/>
        <w:spacing w:line="528" w:lineRule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            </w:t>
      </w:r>
    </w:p>
    <w:p>
      <w:pPr>
        <w:widowControl/>
        <w:spacing w:line="528" w:lineRule="auto"/>
        <w:ind w:firstLine="642"/>
        <w:jc w:val="center"/>
        <w:rPr>
          <w:rFonts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第三部分 2017年部分决算情况说明</w:t>
      </w:r>
    </w:p>
    <w:p>
      <w:pPr>
        <w:widowControl/>
        <w:spacing w:before="100" w:beforeAutospacing="1" w:after="100" w:afterAutospacing="1" w:line="660" w:lineRule="exact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 xml:space="preserve">一、收入支出决算总体情况说明 </w:t>
      </w:r>
    </w:p>
    <w:p>
      <w:pPr>
        <w:widowControl/>
        <w:spacing w:before="100" w:beforeAutospacing="1" w:after="100" w:afterAutospacing="1" w:line="660" w:lineRule="exact"/>
        <w:ind w:firstLine="480" w:firstLineChars="15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2017年度收入总计8346.8927万元，其中：年初结账和结余84.8963万元，财政拨款收入8261.9964万元。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比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2016年增加，主要原因是项目增多。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</w:p>
    <w:p>
      <w:pPr>
        <w:widowControl/>
        <w:spacing w:before="100" w:beforeAutospacing="1" w:after="100" w:afterAutospacing="1" w:line="660" w:lineRule="exact"/>
        <w:ind w:firstLine="480" w:firstLineChars="15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2017年度支出总计5802.0458万元，其中：一般公共服务支出466.2217万元，农林水支出5212.3965万元，粮油物资储备及粮油事物支出123.4276万元，年末结转和结余2544.8469万元。</w:t>
      </w:r>
      <w:r>
        <w:rPr>
          <w:rFonts w:hint="eastAsia" w:ascii="仿宋" w:hAnsi="仿宋" w:eastAsia="仿宋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比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2016年增加，主要原因是项目增多。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</w:p>
    <w:p>
      <w:pPr>
        <w:widowControl/>
        <w:spacing w:before="100" w:beforeAutospacing="1" w:after="100" w:afterAutospacing="1" w:line="660" w:lineRule="exac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 xml:space="preserve">二、一般公共预算财政拨款支出决算情况说明 </w:t>
      </w:r>
    </w:p>
    <w:p>
      <w:pPr>
        <w:widowControl/>
        <w:spacing w:before="100" w:beforeAutospacing="1" w:after="100" w:afterAutospacing="1" w:line="660" w:lineRule="exact"/>
        <w:ind w:firstLine="480" w:firstLineChars="15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2017年度一般公共预算财政拨款支出决算为5802.0458万元，具体情况如下：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</w:p>
    <w:p>
      <w:pPr>
        <w:widowControl/>
        <w:spacing w:before="100" w:beforeAutospacing="1" w:after="100" w:afterAutospacing="1" w:line="6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基本支出（人员经费和日常公用经费）466.2217万元，项目支出5212.3965万元，粮油物资储备支出123.4276万元，年末结转和结余2544.8469万元。</w:t>
      </w:r>
    </w:p>
    <w:p>
      <w:pPr>
        <w:widowControl/>
        <w:spacing w:before="100" w:beforeAutospacing="1" w:after="100" w:afterAutospacing="1" w:line="660" w:lineRule="exact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 xml:space="preserve">三、“三公”经费支出决算情况说明 </w:t>
      </w:r>
    </w:p>
    <w:p>
      <w:pPr>
        <w:widowControl/>
        <w:spacing w:before="100" w:beforeAutospacing="1" w:after="100" w:afterAutospacing="1" w:line="660" w:lineRule="exact"/>
        <w:ind w:firstLine="64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（一）“三公”经费财政拨款支出决算基本情况说明。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2017年度，“三公”经费财政拨款支出决算为2.9777万元，其中：因公出国（境）费决算0万元，公务用车购置及运行维护费决算2.7297万元，公务接待费决算0.2480万元。</w:t>
      </w:r>
    </w:p>
    <w:p>
      <w:pPr>
        <w:widowControl/>
        <w:spacing w:before="100" w:beforeAutospacing="1" w:after="100" w:afterAutospacing="1" w:line="660" w:lineRule="exact"/>
        <w:ind w:firstLine="64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（二）“三公”经费财政拨款支出决算具体情况说明。</w:t>
      </w:r>
    </w:p>
    <w:p>
      <w:pPr>
        <w:widowControl/>
        <w:spacing w:before="100" w:beforeAutospacing="1" w:after="100" w:afterAutospacing="1" w:line="660" w:lineRule="exact"/>
        <w:ind w:firstLine="64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1.因公出国（境）费决算0万元。包括单位工作人员公务出国（境）的差旅费、伙食补助费、杂费、培训费等支出。2017年使用财政拨款安排单位出国（境）团组0个、参加其他单位组织的出国（境）团组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0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个，全年因工出国（境）团组共计0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个，累计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0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人次。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</w:p>
    <w:p>
      <w:pPr>
        <w:widowControl/>
        <w:spacing w:before="100" w:beforeAutospacing="1" w:after="100" w:afterAutospacing="1" w:line="660" w:lineRule="exac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2.公务用车购置及运行维护费决算2.7万元。包括单位公务用车购置费及燃料费、维修费、过路过桥费、保险费等支出。其中：公务用车购置费支出0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万元。公务用车运行维护费2.7万元，2017年我单位财政拨款开支运行维护费的公务用车保有量为1辆，公务用车经费决算减少的主要原因是：严格执行我国公车改革制度。</w:t>
      </w:r>
      <w:r>
        <w:rPr>
          <w:rFonts w:hint="eastAsia" w:ascii="仿宋" w:hAnsi="仿宋" w:eastAsia="仿宋_GB2312" w:cs="宋体"/>
          <w:sz w:val="32"/>
          <w:szCs w:val="32"/>
        </w:rPr>
        <w:t xml:space="preserve"> </w:t>
      </w:r>
    </w:p>
    <w:p>
      <w:pPr>
        <w:widowControl/>
        <w:spacing w:before="100" w:beforeAutospacing="1" w:after="100" w:afterAutospacing="1" w:line="66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3.公务接待费决算0.2480万元。包括单位按规定开支的各类公务接待（含外宾接待）支出。其中：国内公务接待支出0.2480万元，接待6批次，28人次，共计0.2480万元。</w:t>
      </w:r>
    </w:p>
    <w:p>
      <w:pPr>
        <w:widowControl/>
        <w:spacing w:before="100" w:beforeAutospacing="1" w:after="100" w:afterAutospacing="1" w:line="660" w:lineRule="exact"/>
        <w:jc w:val="center"/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eastAsia="zh-CN"/>
        </w:rPr>
        <w:t>第四部分</w:t>
      </w: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/>
        </w:rPr>
        <w:t xml:space="preserve">   名词解释</w:t>
      </w:r>
    </w:p>
    <w:p>
      <w:pPr>
        <w:widowControl/>
        <w:spacing w:before="100" w:beforeAutospacing="1" w:after="100" w:afterAutospacing="1" w:line="660" w:lineRule="exact"/>
        <w:jc w:val="both"/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/>
        </w:rPr>
        <w:t>无</w:t>
      </w:r>
    </w:p>
    <w:p>
      <w:pPr>
        <w:widowControl/>
        <w:spacing w:line="528" w:lineRule="auto"/>
        <w:jc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750D"/>
    <w:rsid w:val="001073B0"/>
    <w:rsid w:val="001B5255"/>
    <w:rsid w:val="001F0154"/>
    <w:rsid w:val="00371525"/>
    <w:rsid w:val="003C6F7A"/>
    <w:rsid w:val="00481B01"/>
    <w:rsid w:val="00660C1F"/>
    <w:rsid w:val="007D07D5"/>
    <w:rsid w:val="008B06E5"/>
    <w:rsid w:val="008D1D70"/>
    <w:rsid w:val="009320DB"/>
    <w:rsid w:val="00A14134"/>
    <w:rsid w:val="00AE208C"/>
    <w:rsid w:val="00B82595"/>
    <w:rsid w:val="00B931FD"/>
    <w:rsid w:val="00B94057"/>
    <w:rsid w:val="00BC6434"/>
    <w:rsid w:val="00C1750D"/>
    <w:rsid w:val="00C87D2D"/>
    <w:rsid w:val="00D50EDD"/>
    <w:rsid w:val="00E12686"/>
    <w:rsid w:val="00ED465E"/>
    <w:rsid w:val="00F77592"/>
    <w:rsid w:val="00F9573E"/>
    <w:rsid w:val="08FD2C6A"/>
    <w:rsid w:val="673D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159</Words>
  <Characters>912</Characters>
  <Lines>7</Lines>
  <Paragraphs>2</Paragraphs>
  <TotalTime>0</TotalTime>
  <ScaleCrop>false</ScaleCrop>
  <LinksUpToDate>false</LinksUpToDate>
  <CharactersWithSpaces>1069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2017-09-14T03:10:00Z</dcterms:created>
  <dc:creator>microsoft</dc:creator>
  <cp:lastModifiedBy>Administrator</cp:lastModifiedBy>
  <dcterms:modified xsi:type="dcterms:W3CDTF">2018-04-10T02:09:22Z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