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永和县水务局</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第一部分  概况</w:t>
      </w:r>
    </w:p>
    <w:p>
      <w:pPr>
        <w:widowControl/>
        <w:shd w:val="clear" w:color="auto" w:fill="FFFFFF"/>
        <w:spacing w:line="404" w:lineRule="atLeast"/>
        <w:ind w:firstLine="60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w:t>
      </w:r>
      <w:r>
        <w:rPr>
          <w:rFonts w:hint="eastAsia" w:ascii="仿宋" w:hAnsi="仿宋" w:eastAsia="仿宋" w:cs="仿宋"/>
          <w:color w:val="222222"/>
          <w:spacing w:val="10"/>
          <w:kern w:val="0"/>
          <w:sz w:val="32"/>
          <w:szCs w:val="32"/>
        </w:rPr>
        <w:t>主要职能职责：</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一）负责保障水资源的合理开发利用。贯彻执行国家和省市有关水利工作的方针政策、法律法规和规章，拟定全县水利发展中长期规划，组织起草全县水利工作的政策措施和实施办法并监督实施；负责提出水利建设投资安排建议；负责县级水利资金和水利国有资产监督管理工作；提出有关水利价格、收费、信贷、税收的政策建议。</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二）负责生活、生产经营和生态环境用水的统筹协调和保障。实施水资源的统一监督管理。组织拟定全县水中长期供求计划、水量分配方案并监督实施；负责重点调水工程的水资源调度；组织实施取水许可、水资源有偿使用、水资源论证等制度；指导水利行业供水。</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三）承担水资源保护和节约用水的责任。按照国家资源与环境保护的有关法律法规和标准，组织编制全县水资源保护规划；组织拟定重要河道、水库的水功能区划并监督实施；核定水域纳污能力，提出限制排污总量意见，指导入河排污口设置工作；指导饮用水水源保护、地下水资源开发利用和保护工作；拟定节约用水政策，指导和推动节水型社会建设。</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四）组织、协调、监督、指挥全县防汛防潮抗旱工作，承担县政府防汛抗旱指挥部的日常工作。负责对土地利用总体规划、城市规划和其他涉及防洪、防潮的规划、重大建设项目布局的防洪、防潮论证提出意见；指导城市防洪、防潮工作，发布水利信息，管理水利信息网络，对较大河道、水库和重要水利工程实施防汛抗旱调度；指导水利突发公共事件的应急管理工作。</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五）指导水利工程建设与管理工作。指导水利设施、水域及其岸线的管理与保护；指导河道、水库及河口滩涂的治理和开发；组织实施具有控制性的或跨乡镇（街道）的重要水利工程建设与运行管理；组织实施水利工程建设有关制度；指导水利建设市场的监督管理；按规定权限审查河道管理范围内建设项目、工程建设方案；指导防潮堤建设与管理；负责水利移民工作的监督管理工作。</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（六）指导农村水利工作。组织协调农田水利基本建设、农村饮水、节水灌溉、乡镇（街道）供水、灌区管理、机井建设工作，指导水利社会化服务体系建设和农村水利工程产权制度改革工作。</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七）负责水土保持工作。组织编制水土保持和水生态建设规划并监督实施；负责全县水土流失综合防治、监测预报并定期公告；归口管理全县农村“荒沟、荒丘、荒滩”治理开发的管理工作；负责开发建设项目水土保持方案的审批、监督实施和水土保持设施的验收工作；承担县水土保持委员会的日常工作。</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（八）组织指导水政监察和水行政执法，负责重大涉水违法事件的查处，调处部门间和乡镇（街道）间的水事纠纷，受县政府委托协调处理县际间的水事纠纷，指导水利行政事业性收费的征收管理工作。</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（九）负责重点水利工程安全生产监督管理工作；指导水利行业安全生产工作；组织实施水利工程质量和安全监督。</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 十)负责水文工作。负责对地表水和地下水水量、水质实施监测；发布雨情、水情等水文水资源信息、情报预报和水资源公报。</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 十一 )负责本部门及部门职责范围内的安全工作。</w:t>
      </w:r>
    </w:p>
    <w:p>
      <w:pPr>
        <w:widowControl/>
        <w:spacing w:line="560" w:lineRule="exact"/>
        <w:rPr>
          <w:rFonts w:hint="eastAsia" w:ascii="仿宋" w:hAnsi="仿宋" w:eastAsia="仿宋" w:cs="仿宋"/>
          <w:color w:val="222222"/>
          <w:sz w:val="32"/>
          <w:szCs w:val="32"/>
        </w:rPr>
      </w:pPr>
      <w:r>
        <w:rPr>
          <w:rFonts w:hint="eastAsia" w:ascii="仿宋" w:hAnsi="仿宋" w:eastAsia="仿宋" w:cs="仿宋"/>
          <w:color w:val="222222"/>
          <w:sz w:val="32"/>
          <w:szCs w:val="32"/>
        </w:rPr>
        <w:t>( 十二)承办县委、县政府交办的其他事项。</w:t>
      </w:r>
    </w:p>
    <w:p>
      <w:pPr>
        <w:widowControl/>
        <w:shd w:val="clear" w:color="auto" w:fill="FFFFFF"/>
        <w:spacing w:line="404" w:lineRule="atLeast"/>
        <w:ind w:firstLine="602"/>
        <w:jc w:val="left"/>
        <w:rPr>
          <w:rFonts w:hint="eastAsia" w:ascii="仿宋" w:hAnsi="仿宋" w:eastAsia="仿宋" w:cs="仿宋"/>
          <w:color w:val="000000"/>
          <w:sz w:val="32"/>
          <w:szCs w:val="32"/>
          <w:shd w:val="clear" w:color="auto" w:fill="FFFFFF"/>
        </w:rPr>
      </w:pPr>
      <w:r>
        <w:rPr>
          <w:rFonts w:hint="eastAsia" w:ascii="仿宋" w:hAnsi="仿宋" w:eastAsia="仿宋" w:cs="仿宋"/>
          <w:color w:val="222222"/>
          <w:kern w:val="0"/>
          <w:sz w:val="32"/>
          <w:szCs w:val="32"/>
        </w:rPr>
        <w:t>2、</w:t>
      </w:r>
      <w:r>
        <w:rPr>
          <w:rFonts w:hint="eastAsia" w:ascii="仿宋" w:hAnsi="仿宋" w:eastAsia="仿宋" w:cs="仿宋"/>
          <w:color w:val="222222"/>
          <w:spacing w:val="10"/>
          <w:kern w:val="0"/>
          <w:sz w:val="32"/>
          <w:szCs w:val="32"/>
        </w:rPr>
        <w:t>部门预算单位构成：</w:t>
      </w:r>
      <w:r>
        <w:rPr>
          <w:rFonts w:hint="eastAsia" w:ascii="仿宋" w:hAnsi="仿宋" w:eastAsia="仿宋" w:cs="仿宋"/>
          <w:color w:val="000000"/>
          <w:sz w:val="32"/>
          <w:szCs w:val="32"/>
          <w:shd w:val="clear" w:color="auto" w:fill="FFFFFF"/>
        </w:rPr>
        <w:t>永和县水务局为独立编制及独立核算机构，机构数为1个。编制为公共预算单位。</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p>
    <w:p>
      <w:pPr>
        <w:pStyle w:val="11"/>
        <w:spacing w:before="0" w:beforeAutospacing="0" w:after="0" w:afterAutospacing="0" w:line="528" w:lineRule="auto"/>
        <w:ind w:firstLine="642"/>
        <w:rPr>
          <w:rFonts w:hint="eastAsia" w:ascii="仿宋" w:hAnsi="仿宋" w:eastAsia="仿宋" w:cs="仿宋"/>
          <w:color w:val="000000"/>
          <w:sz w:val="32"/>
          <w:szCs w:val="32"/>
        </w:rPr>
      </w:pPr>
      <w:r>
        <w:rPr>
          <w:rFonts w:hint="eastAsia" w:ascii="仿宋" w:hAnsi="仿宋" w:eastAsia="仿宋" w:cs="仿宋"/>
          <w:color w:val="000000"/>
          <w:sz w:val="32"/>
          <w:szCs w:val="32"/>
        </w:rPr>
        <w:t>201</w:t>
      </w: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年度预算编制范围为一级预算单位1个。</w:t>
      </w:r>
    </w:p>
    <w:p>
      <w:pPr>
        <w:widowControl/>
        <w:shd w:val="clear" w:color="auto" w:fill="FFFFFF"/>
        <w:spacing w:line="404" w:lineRule="atLeast"/>
        <w:ind w:firstLine="602"/>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第二部分  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年度部门预算报表</w:t>
      </w:r>
    </w:p>
    <w:p>
      <w:pPr>
        <w:widowControl/>
        <w:shd w:val="clear" w:color="auto" w:fill="FFFFFF"/>
        <w:spacing w:line="404" w:lineRule="atLeast"/>
        <w:ind w:firstLine="600"/>
        <w:rPr>
          <w:rFonts w:hint="eastAsia" w:ascii="仿宋" w:hAnsi="仿宋" w:eastAsia="仿宋" w:cs="仿宋"/>
          <w:color w:val="222222"/>
          <w:kern w:val="0"/>
          <w:sz w:val="32"/>
          <w:szCs w:val="32"/>
        </w:rPr>
      </w:pPr>
      <w:r>
        <w:rPr>
          <w:rFonts w:hint="eastAsia" w:ascii="仿宋" w:hAnsi="仿宋" w:eastAsia="仿宋" w:cs="仿宋"/>
          <w:color w:val="222222"/>
          <w:spacing w:val="10"/>
          <w:kern w:val="0"/>
          <w:sz w:val="32"/>
          <w:szCs w:val="32"/>
        </w:rPr>
        <w:t>本部分内容见附表。</w:t>
      </w:r>
    </w:p>
    <w:p>
      <w:pPr>
        <w:widowControl/>
        <w:shd w:val="clear" w:color="auto" w:fill="FFFFFF"/>
        <w:spacing w:line="404" w:lineRule="atLeast"/>
        <w:ind w:firstLine="602"/>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第三部分  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年度部门预算情况说明</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年度部门预算数据变动情况及原因</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水务局201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年部门财政拨款预算</w:t>
      </w:r>
      <w:r>
        <w:rPr>
          <w:rFonts w:hint="eastAsia" w:ascii="仿宋" w:hAnsi="仿宋" w:eastAsia="仿宋" w:cs="仿宋"/>
          <w:color w:val="222222"/>
          <w:spacing w:val="10"/>
          <w:kern w:val="0"/>
          <w:sz w:val="32"/>
          <w:szCs w:val="32"/>
          <w:lang w:val="en-US" w:eastAsia="zh-CN"/>
        </w:rPr>
        <w:t>459.35</w:t>
      </w:r>
      <w:r>
        <w:rPr>
          <w:rFonts w:hint="eastAsia" w:ascii="仿宋" w:hAnsi="仿宋" w:eastAsia="仿宋" w:cs="仿宋"/>
          <w:color w:val="222222"/>
          <w:spacing w:val="10"/>
          <w:kern w:val="0"/>
          <w:sz w:val="32"/>
          <w:szCs w:val="32"/>
        </w:rPr>
        <w:t>万元，比201</w:t>
      </w:r>
      <w:r>
        <w:rPr>
          <w:rFonts w:hint="eastAsia" w:ascii="仿宋" w:hAnsi="仿宋" w:eastAsia="仿宋" w:cs="仿宋"/>
          <w:color w:val="222222"/>
          <w:spacing w:val="10"/>
          <w:kern w:val="0"/>
          <w:sz w:val="32"/>
          <w:szCs w:val="32"/>
          <w:lang w:val="en-US" w:eastAsia="zh-CN"/>
        </w:rPr>
        <w:t>7</w:t>
      </w:r>
      <w:r>
        <w:rPr>
          <w:rFonts w:hint="eastAsia" w:ascii="仿宋" w:hAnsi="仿宋" w:eastAsia="仿宋" w:cs="仿宋"/>
          <w:color w:val="222222"/>
          <w:spacing w:val="10"/>
          <w:kern w:val="0"/>
          <w:sz w:val="32"/>
          <w:szCs w:val="32"/>
        </w:rPr>
        <w:t>年预算</w:t>
      </w:r>
      <w:r>
        <w:rPr>
          <w:rFonts w:hint="eastAsia" w:ascii="仿宋" w:hAnsi="仿宋" w:eastAsia="仿宋" w:cs="仿宋"/>
          <w:color w:val="222222"/>
          <w:spacing w:val="10"/>
          <w:kern w:val="0"/>
          <w:sz w:val="32"/>
          <w:szCs w:val="32"/>
          <w:lang w:val="en-US" w:eastAsia="zh-CN"/>
        </w:rPr>
        <w:t>减少19.55</w:t>
      </w:r>
      <w:r>
        <w:rPr>
          <w:rFonts w:hint="eastAsia" w:ascii="仿宋" w:hAnsi="仿宋" w:eastAsia="仿宋" w:cs="仿宋"/>
          <w:color w:val="222222"/>
          <w:spacing w:val="10"/>
          <w:kern w:val="0"/>
          <w:sz w:val="32"/>
          <w:szCs w:val="32"/>
        </w:rPr>
        <w:t>万元，增长</w:t>
      </w:r>
      <w:r>
        <w:rPr>
          <w:rFonts w:hint="eastAsia" w:ascii="仿宋" w:hAnsi="仿宋" w:eastAsia="仿宋" w:cs="仿宋"/>
          <w:color w:val="222222"/>
          <w:spacing w:val="10"/>
          <w:kern w:val="0"/>
          <w:sz w:val="32"/>
          <w:szCs w:val="32"/>
          <w:lang w:val="en-US" w:eastAsia="zh-CN"/>
        </w:rPr>
        <w:t>4.25</w:t>
      </w:r>
      <w:r>
        <w:rPr>
          <w:rFonts w:hint="eastAsia" w:ascii="仿宋" w:hAnsi="仿宋" w:eastAsia="仿宋" w:cs="仿宋"/>
          <w:color w:val="222222"/>
          <w:spacing w:val="10"/>
          <w:kern w:val="0"/>
          <w:sz w:val="32"/>
          <w:szCs w:val="32"/>
        </w:rPr>
        <w:t>%,原因是</w:t>
      </w:r>
      <w:r>
        <w:rPr>
          <w:rFonts w:hint="eastAsia" w:ascii="仿宋" w:hAnsi="仿宋" w:eastAsia="仿宋" w:cs="仿宋"/>
          <w:color w:val="222222"/>
          <w:spacing w:val="10"/>
          <w:kern w:val="0"/>
          <w:sz w:val="32"/>
          <w:szCs w:val="32"/>
          <w:lang w:val="en-US" w:eastAsia="zh-CN"/>
        </w:rPr>
        <w:t>人员退休4人，工资比上年减少</w:t>
      </w:r>
      <w:r>
        <w:rPr>
          <w:rFonts w:hint="eastAsia" w:ascii="仿宋" w:hAnsi="仿宋" w:eastAsia="仿宋" w:cs="仿宋"/>
          <w:color w:val="222222"/>
          <w:spacing w:val="10"/>
          <w:kern w:val="0"/>
          <w:sz w:val="32"/>
          <w:szCs w:val="32"/>
        </w:rPr>
        <w:t>。</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2、</w:t>
      </w:r>
      <w:r>
        <w:rPr>
          <w:rFonts w:hint="eastAsia" w:ascii="仿宋" w:hAnsi="仿宋" w:eastAsia="仿宋" w:cs="仿宋"/>
          <w:color w:val="222222"/>
          <w:spacing w:val="10"/>
          <w:kern w:val="0"/>
          <w:sz w:val="32"/>
          <w:szCs w:val="32"/>
        </w:rPr>
        <w:t>“三公”经费增减变动原因说明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水务局201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年“三公”经费财政拨款预算2万元，比201</w:t>
      </w:r>
      <w:r>
        <w:rPr>
          <w:rFonts w:hint="eastAsia" w:ascii="仿宋" w:hAnsi="仿宋" w:eastAsia="仿宋" w:cs="仿宋"/>
          <w:color w:val="222222"/>
          <w:spacing w:val="10"/>
          <w:kern w:val="0"/>
          <w:sz w:val="32"/>
          <w:szCs w:val="32"/>
          <w:lang w:val="en-US" w:eastAsia="zh-CN"/>
        </w:rPr>
        <w:t>7</w:t>
      </w:r>
      <w:r>
        <w:rPr>
          <w:rFonts w:hint="eastAsia" w:ascii="仿宋" w:hAnsi="仿宋" w:eastAsia="仿宋" w:cs="仿宋"/>
          <w:color w:val="222222"/>
          <w:spacing w:val="10"/>
          <w:kern w:val="0"/>
          <w:sz w:val="32"/>
          <w:szCs w:val="32"/>
        </w:rPr>
        <w:t>年预算减少</w:t>
      </w:r>
      <w:r>
        <w:rPr>
          <w:rFonts w:hint="eastAsia" w:ascii="仿宋" w:hAnsi="仿宋" w:eastAsia="仿宋" w:cs="仿宋"/>
          <w:color w:val="222222"/>
          <w:spacing w:val="10"/>
          <w:kern w:val="0"/>
          <w:sz w:val="32"/>
          <w:szCs w:val="32"/>
          <w:lang w:val="en-US" w:eastAsia="zh-CN"/>
        </w:rPr>
        <w:t>0.4</w:t>
      </w:r>
      <w:r>
        <w:rPr>
          <w:rFonts w:hint="eastAsia" w:ascii="仿宋" w:hAnsi="仿宋" w:eastAsia="仿宋" w:cs="仿宋"/>
          <w:color w:val="222222"/>
          <w:spacing w:val="10"/>
          <w:kern w:val="0"/>
          <w:sz w:val="32"/>
          <w:szCs w:val="32"/>
        </w:rPr>
        <w:t>万元，下降</w:t>
      </w:r>
      <w:r>
        <w:rPr>
          <w:rFonts w:hint="eastAsia" w:ascii="仿宋" w:hAnsi="仿宋" w:eastAsia="仿宋" w:cs="仿宋"/>
          <w:color w:val="222222"/>
          <w:spacing w:val="10"/>
          <w:kern w:val="0"/>
          <w:sz w:val="32"/>
          <w:szCs w:val="32"/>
          <w:lang w:val="en-US" w:eastAsia="zh-CN"/>
        </w:rPr>
        <w:t>16.7</w:t>
      </w:r>
      <w:r>
        <w:rPr>
          <w:rFonts w:hint="eastAsia" w:ascii="仿宋" w:hAnsi="仿宋" w:eastAsia="仿宋" w:cs="仿宋"/>
          <w:color w:val="222222"/>
          <w:spacing w:val="10"/>
          <w:kern w:val="0"/>
          <w:sz w:val="32"/>
          <w:szCs w:val="32"/>
        </w:rPr>
        <w:t>%,原因是公务接待费</w:t>
      </w:r>
      <w:r>
        <w:rPr>
          <w:rFonts w:hint="eastAsia" w:ascii="仿宋" w:hAnsi="仿宋" w:eastAsia="仿宋" w:cs="仿宋"/>
          <w:color w:val="222222"/>
          <w:spacing w:val="10"/>
          <w:kern w:val="0"/>
          <w:sz w:val="32"/>
          <w:szCs w:val="32"/>
          <w:lang w:val="en-US" w:eastAsia="zh-CN"/>
        </w:rPr>
        <w:t>没有预算，减少0.4万元</w:t>
      </w:r>
      <w:r>
        <w:rPr>
          <w:rFonts w:hint="eastAsia" w:ascii="仿宋" w:hAnsi="仿宋" w:eastAsia="仿宋" w:cs="仿宋"/>
          <w:color w:val="222222"/>
          <w:spacing w:val="10"/>
          <w:kern w:val="0"/>
          <w:sz w:val="32"/>
          <w:szCs w:val="32"/>
        </w:rPr>
        <w:t>。</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3、</w:t>
      </w:r>
      <w:r>
        <w:rPr>
          <w:rFonts w:hint="eastAsia" w:ascii="仿宋" w:hAnsi="仿宋" w:eastAsia="仿宋" w:cs="仿宋"/>
          <w:color w:val="222222"/>
          <w:spacing w:val="10"/>
          <w:kern w:val="0"/>
          <w:sz w:val="32"/>
          <w:szCs w:val="32"/>
        </w:rPr>
        <w:t>机关运行经费增减变动原因说明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水务局201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年机关运行经费财政拨款预算1</w:t>
      </w:r>
      <w:r>
        <w:rPr>
          <w:rFonts w:hint="eastAsia" w:ascii="仿宋" w:hAnsi="仿宋" w:eastAsia="仿宋" w:cs="仿宋"/>
          <w:color w:val="222222"/>
          <w:spacing w:val="10"/>
          <w:kern w:val="0"/>
          <w:sz w:val="32"/>
          <w:szCs w:val="32"/>
          <w:lang w:val="en-US" w:eastAsia="zh-CN"/>
        </w:rPr>
        <w:t>0</w:t>
      </w:r>
      <w:r>
        <w:rPr>
          <w:rFonts w:hint="eastAsia" w:ascii="仿宋" w:hAnsi="仿宋" w:eastAsia="仿宋" w:cs="仿宋"/>
          <w:color w:val="222222"/>
          <w:spacing w:val="10"/>
          <w:kern w:val="0"/>
          <w:sz w:val="32"/>
          <w:szCs w:val="32"/>
        </w:rPr>
        <w:t>万元，比201</w:t>
      </w:r>
      <w:r>
        <w:rPr>
          <w:rFonts w:hint="eastAsia" w:ascii="仿宋" w:hAnsi="仿宋" w:eastAsia="仿宋" w:cs="仿宋"/>
          <w:color w:val="222222"/>
          <w:spacing w:val="10"/>
          <w:kern w:val="0"/>
          <w:sz w:val="32"/>
          <w:szCs w:val="32"/>
          <w:lang w:val="en-US" w:eastAsia="zh-CN"/>
        </w:rPr>
        <w:t>7</w:t>
      </w:r>
      <w:r>
        <w:rPr>
          <w:rFonts w:hint="eastAsia" w:ascii="仿宋" w:hAnsi="仿宋" w:eastAsia="仿宋" w:cs="仿宋"/>
          <w:color w:val="222222"/>
          <w:spacing w:val="10"/>
          <w:kern w:val="0"/>
          <w:sz w:val="32"/>
          <w:szCs w:val="32"/>
        </w:rPr>
        <w:t>年预算减少</w:t>
      </w:r>
      <w:r>
        <w:rPr>
          <w:rFonts w:hint="eastAsia" w:ascii="仿宋" w:hAnsi="仿宋" w:eastAsia="仿宋" w:cs="仿宋"/>
          <w:color w:val="222222"/>
          <w:spacing w:val="10"/>
          <w:kern w:val="0"/>
          <w:sz w:val="32"/>
          <w:szCs w:val="32"/>
          <w:lang w:val="en-US" w:eastAsia="zh-CN"/>
        </w:rPr>
        <w:t>7</w:t>
      </w:r>
      <w:r>
        <w:rPr>
          <w:rFonts w:hint="eastAsia" w:ascii="仿宋" w:hAnsi="仿宋" w:eastAsia="仿宋" w:cs="仿宋"/>
          <w:color w:val="222222"/>
          <w:spacing w:val="10"/>
          <w:kern w:val="0"/>
          <w:sz w:val="32"/>
          <w:szCs w:val="32"/>
        </w:rPr>
        <w:t>万元，下降</w:t>
      </w:r>
      <w:r>
        <w:rPr>
          <w:rFonts w:hint="eastAsia" w:ascii="仿宋" w:hAnsi="仿宋" w:eastAsia="仿宋" w:cs="仿宋"/>
          <w:color w:val="222222"/>
          <w:spacing w:val="10"/>
          <w:kern w:val="0"/>
          <w:sz w:val="32"/>
          <w:szCs w:val="32"/>
          <w:lang w:val="en-US" w:eastAsia="zh-CN"/>
        </w:rPr>
        <w:t>41.2</w:t>
      </w:r>
      <w:r>
        <w:rPr>
          <w:rFonts w:hint="eastAsia" w:ascii="仿宋" w:hAnsi="仿宋" w:eastAsia="仿宋" w:cs="仿宋"/>
          <w:color w:val="222222"/>
          <w:spacing w:val="10"/>
          <w:kern w:val="0"/>
          <w:sz w:val="32"/>
          <w:szCs w:val="32"/>
        </w:rPr>
        <w:t>%,原因是</w:t>
      </w:r>
      <w:r>
        <w:rPr>
          <w:rFonts w:hint="eastAsia" w:ascii="仿宋" w:hAnsi="仿宋" w:eastAsia="仿宋" w:cs="仿宋"/>
          <w:color w:val="222222"/>
          <w:spacing w:val="10"/>
          <w:kern w:val="0"/>
          <w:sz w:val="32"/>
          <w:szCs w:val="32"/>
          <w:lang w:val="en-US" w:eastAsia="zh-CN"/>
        </w:rPr>
        <w:t>4</w:t>
      </w:r>
      <w:r>
        <w:rPr>
          <w:rFonts w:hint="eastAsia" w:ascii="仿宋" w:hAnsi="仿宋" w:eastAsia="仿宋" w:cs="仿宋"/>
          <w:color w:val="222222"/>
          <w:spacing w:val="10"/>
          <w:kern w:val="0"/>
          <w:sz w:val="32"/>
          <w:szCs w:val="32"/>
        </w:rPr>
        <w:t>人退休，机关运行经费减少。</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4、</w:t>
      </w:r>
      <w:r>
        <w:rPr>
          <w:rFonts w:hint="eastAsia" w:ascii="仿宋" w:hAnsi="仿宋" w:eastAsia="仿宋" w:cs="仿宋"/>
          <w:color w:val="222222"/>
          <w:spacing w:val="10"/>
          <w:kern w:val="0"/>
          <w:sz w:val="32"/>
          <w:szCs w:val="32"/>
        </w:rPr>
        <w:t>其他说明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（1）政府采购情况</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年水务局无县级预算政府采购项目。</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（2）政府购买服务指导性目录</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（3）国有资产占有使用情况</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1.车辆情况：</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水务局有防汛应急车1辆</w:t>
      </w:r>
    </w:p>
    <w:p>
      <w:pPr>
        <w:numPr>
          <w:ilvl w:val="0"/>
          <w:numId w:val="1"/>
        </w:num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房屋情况：</w:t>
      </w:r>
    </w:p>
    <w:p>
      <w:pPr>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有办公楼一座</w:t>
      </w:r>
    </w:p>
    <w:p>
      <w:pPr>
        <w:numPr>
          <w:ilvl w:val="0"/>
          <w:numId w:val="1"/>
        </w:num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其他国有资产占有使用情况。</w:t>
      </w:r>
    </w:p>
    <w:p>
      <w:pPr>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其他资产均为一般设备。</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（4）绩效管理情况</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2017年水务局实行绩效目标管理的项目0个，涉及一般公共预算当年拨款0万元。</w:t>
      </w:r>
    </w:p>
    <w:p>
      <w:pPr>
        <w:ind w:firstLine="636"/>
        <w:rPr>
          <w:rFonts w:hint="eastAsia" w:ascii="仿宋" w:hAnsi="仿宋" w:eastAsia="仿宋" w:cs="仿宋"/>
          <w:color w:val="222222"/>
          <w:spacing w:val="10"/>
          <w:kern w:val="0"/>
          <w:sz w:val="32"/>
          <w:szCs w:val="32"/>
          <w:lang w:val="en-US" w:eastAsia="zh-CN"/>
        </w:rPr>
      </w:pPr>
      <w:r>
        <w:rPr>
          <w:rFonts w:hint="eastAsia" w:ascii="仿宋" w:hAnsi="仿宋" w:eastAsia="仿宋" w:cs="仿宋"/>
          <w:color w:val="222222"/>
          <w:spacing w:val="10"/>
          <w:kern w:val="0"/>
          <w:sz w:val="32"/>
          <w:szCs w:val="32"/>
          <w:lang w:eastAsia="zh-CN"/>
        </w:rPr>
        <w:t>（</w:t>
      </w:r>
      <w:r>
        <w:rPr>
          <w:rFonts w:hint="eastAsia" w:ascii="仿宋" w:hAnsi="仿宋" w:eastAsia="仿宋" w:cs="仿宋"/>
          <w:color w:val="222222"/>
          <w:spacing w:val="10"/>
          <w:kern w:val="0"/>
          <w:sz w:val="32"/>
          <w:szCs w:val="32"/>
          <w:lang w:val="en-US" w:eastAsia="zh-CN"/>
        </w:rPr>
        <w:t>5</w:t>
      </w:r>
      <w:r>
        <w:rPr>
          <w:rFonts w:hint="eastAsia" w:ascii="仿宋" w:hAnsi="仿宋" w:eastAsia="仿宋" w:cs="仿宋"/>
          <w:color w:val="222222"/>
          <w:spacing w:val="10"/>
          <w:kern w:val="0"/>
          <w:sz w:val="32"/>
          <w:szCs w:val="32"/>
          <w:lang w:eastAsia="zh-CN"/>
        </w:rPr>
        <w:t>）</w:t>
      </w:r>
      <w:r>
        <w:rPr>
          <w:rFonts w:hint="eastAsia" w:ascii="仿宋" w:hAnsi="仿宋" w:eastAsia="仿宋" w:cs="仿宋"/>
          <w:color w:val="222222"/>
          <w:spacing w:val="10"/>
          <w:kern w:val="0"/>
          <w:sz w:val="32"/>
          <w:szCs w:val="32"/>
          <w:lang w:val="en-US" w:eastAsia="zh-CN"/>
        </w:rPr>
        <w:t>其他</w:t>
      </w:r>
      <w:bookmarkStart w:id="0" w:name="_GoBack"/>
      <w:bookmarkEnd w:id="0"/>
    </w:p>
    <w:p>
      <w:pPr>
        <w:widowControl/>
        <w:shd w:val="clear" w:color="auto" w:fill="FFFFFF"/>
        <w:spacing w:line="404" w:lineRule="atLeast"/>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第四部分   名词解释</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（1）基本支出：指为保障机构正常运转、完成日常</w:t>
      </w:r>
    </w:p>
    <w:p>
      <w:pPr>
        <w:autoSpaceDE w:val="0"/>
        <w:autoSpaceDN w:val="0"/>
        <w:adjustRightInd w:val="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工作任务而发生的人员支出和公用支出。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hint="eastAsia" w:ascii="仿宋" w:hAnsi="仿宋" w:eastAsia="仿宋" w:cs="仿宋"/>
          <w:color w:val="222222"/>
          <w:kern w:val="0"/>
          <w:sz w:val="32"/>
          <w:szCs w:val="32"/>
        </w:rPr>
      </w:pPr>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B5EAB"/>
    <w:multiLevelType w:val="singleLevel"/>
    <w:tmpl w:val="58DB5EA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121EF"/>
    <w:rsid w:val="00133DD9"/>
    <w:rsid w:val="004121EF"/>
    <w:rsid w:val="00546EDA"/>
    <w:rsid w:val="005A4A16"/>
    <w:rsid w:val="006762C7"/>
    <w:rsid w:val="00746D98"/>
    <w:rsid w:val="007937DA"/>
    <w:rsid w:val="009604F6"/>
    <w:rsid w:val="00AC6435"/>
    <w:rsid w:val="00EC6157"/>
    <w:rsid w:val="00FC5F55"/>
    <w:rsid w:val="1F2F69CF"/>
    <w:rsid w:val="507414B2"/>
    <w:rsid w:val="5AB64D18"/>
    <w:rsid w:val="70390D8C"/>
    <w:rsid w:val="7FC760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3"/>
    <w:unhideWhenUsed/>
    <w:qFormat/>
    <w:uiPriority w:val="99"/>
    <w:pPr>
      <w:tabs>
        <w:tab w:val="center" w:pos="4153"/>
        <w:tab w:val="right" w:pos="8306"/>
      </w:tabs>
      <w:snapToGrid w:val="0"/>
      <w:jc w:val="left"/>
    </w:pPr>
    <w:rPr>
      <w:sz w:val="18"/>
      <w:szCs w:val="18"/>
    </w:rPr>
  </w:style>
  <w:style w:type="paragraph" w:styleId="3">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unhideWhenUsed/>
    <w:qFormat/>
    <w:uiPriority w:val="99"/>
    <w:rPr>
      <w:color w:val="222222"/>
      <w:u w:val="none"/>
    </w:rPr>
  </w:style>
  <w:style w:type="character" w:styleId="6">
    <w:name w:val="Hyperlink"/>
    <w:basedOn w:val="4"/>
    <w:unhideWhenUsed/>
    <w:qFormat/>
    <w:uiPriority w:val="99"/>
    <w:rPr>
      <w:color w:val="222222"/>
      <w:u w:val="none"/>
    </w:rPr>
  </w:style>
  <w:style w:type="character" w:customStyle="1" w:styleId="8">
    <w:name w:val="apple-converted-space"/>
    <w:basedOn w:val="4"/>
    <w:qFormat/>
    <w:uiPriority w:val="0"/>
  </w:style>
  <w:style w:type="paragraph" w:customStyle="1" w:styleId="9">
    <w:name w:val="列出段落1"/>
    <w:basedOn w:val="1"/>
    <w:qFormat/>
    <w:uiPriority w:val="34"/>
    <w:pPr>
      <w:ind w:firstLine="420" w:firstLineChars="200"/>
    </w:pPr>
  </w:style>
  <w:style w:type="character" w:customStyle="1" w:styleId="10">
    <w:name w:val="v"/>
    <w:basedOn w:val="4"/>
    <w:qFormat/>
    <w:uiPriority w:val="0"/>
  </w:style>
  <w:style w:type="paragraph" w:customStyle="1" w:styleId="11">
    <w:name w:val="p"/>
    <w:basedOn w:val="1"/>
    <w:qFormat/>
    <w:uiPriority w:val="0"/>
    <w:pPr>
      <w:widowControl/>
      <w:spacing w:before="100" w:beforeAutospacing="1" w:after="100" w:afterAutospacing="1"/>
    </w:pPr>
    <w:rPr>
      <w:rFonts w:ascii="宋体" w:hAnsi="宋体" w:cs="宋体"/>
      <w:kern w:val="0"/>
      <w:sz w:val="24"/>
    </w:rPr>
  </w:style>
  <w:style w:type="character" w:customStyle="1" w:styleId="12">
    <w:name w:val="页眉 Char"/>
    <w:basedOn w:val="4"/>
    <w:link w:val="3"/>
    <w:semiHidden/>
    <w:qFormat/>
    <w:uiPriority w:val="99"/>
    <w:rPr>
      <w:rFonts w:asciiTheme="minorHAnsi" w:hAnsiTheme="minorHAnsi" w:eastAsiaTheme="minorEastAsia" w:cstheme="minorBidi"/>
      <w:kern w:val="2"/>
      <w:sz w:val="18"/>
      <w:szCs w:val="18"/>
    </w:rPr>
  </w:style>
  <w:style w:type="character" w:customStyle="1" w:styleId="13">
    <w:name w:val="页脚 Char"/>
    <w:basedOn w:val="4"/>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331</Words>
  <Characters>1893</Characters>
  <Lines>15</Lines>
  <Paragraphs>4</Paragraphs>
  <TotalTime>10</TotalTime>
  <ScaleCrop>false</ScaleCrop>
  <LinksUpToDate>false</LinksUpToDate>
  <CharactersWithSpaces>2220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2018-05-09T07:33:27Z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