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6"/>
          <w:szCs w:val="36"/>
        </w:rPr>
        <w:t>永和县脱贫攻坚指挥部办公室</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kern w:val="0"/>
          <w:sz w:val="36"/>
          <w:szCs w:val="36"/>
        </w:rPr>
        <w:t>201</w:t>
      </w:r>
      <w:r>
        <w:rPr>
          <w:rFonts w:hint="eastAsia" w:ascii="仿宋" w:hAnsi="仿宋" w:eastAsia="仿宋" w:cs="宋体"/>
          <w:b/>
          <w:bCs/>
          <w:color w:val="222222"/>
          <w:kern w:val="0"/>
          <w:sz w:val="36"/>
          <w:szCs w:val="36"/>
          <w:lang w:val="en-US" w:eastAsia="zh-CN"/>
        </w:rPr>
        <w:t>8</w:t>
      </w:r>
      <w:r>
        <w:rPr>
          <w:rFonts w:hint="eastAsia" w:ascii="仿宋" w:hAnsi="仿宋" w:eastAsia="仿宋" w:cs="宋体"/>
          <w:b/>
          <w:bCs/>
          <w:color w:val="222222"/>
          <w:spacing w:val="10"/>
          <w:kern w:val="0"/>
          <w:sz w:val="36"/>
          <w:szCs w:val="36"/>
        </w:rPr>
        <w:t>年度部门预算情况说明</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宋体" w:hAnsi="宋体" w:eastAsia="宋体" w:cs="宋体"/>
          <w:color w:val="222222"/>
          <w:kern w:val="0"/>
          <w:sz w:val="44"/>
          <w:szCs w:val="44"/>
        </w:rPr>
        <w:t> </w:t>
      </w:r>
    </w:p>
    <w:p>
      <w:pPr>
        <w:widowControl/>
        <w:shd w:val="clear" w:color="auto" w:fill="FFFFFF"/>
        <w:spacing w:line="404" w:lineRule="atLeast"/>
        <w:ind w:firstLine="562"/>
        <w:jc w:val="center"/>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第一部分  概况</w:t>
      </w:r>
    </w:p>
    <w:p>
      <w:pPr>
        <w:autoSpaceDE w:val="0"/>
        <w:spacing w:line="432" w:lineRule="auto"/>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1、主要职能职责：</w:t>
      </w:r>
    </w:p>
    <w:p>
      <w:pPr>
        <w:shd w:val="clear" w:color="auto" w:fill="FFFFFF"/>
        <w:spacing w:line="360" w:lineRule="auto"/>
        <w:ind w:firstLine="640" w:firstLineChars="200"/>
        <w:rPr>
          <w:rFonts w:ascii="仿宋" w:hAnsi="仿宋" w:eastAsia="仿宋" w:cs="宋体"/>
          <w:color w:val="222222"/>
          <w:spacing w:val="10"/>
          <w:kern w:val="0"/>
          <w:sz w:val="32"/>
          <w:szCs w:val="32"/>
        </w:rPr>
      </w:pPr>
      <w:r>
        <w:rPr>
          <w:rFonts w:hint="eastAsia" w:ascii="仿宋_GB2312" w:hAnsi="微软雅黑" w:eastAsia="仿宋_GB2312" w:cs="仿宋_GB2312"/>
          <w:color w:val="222222"/>
          <w:sz w:val="32"/>
          <w:szCs w:val="32"/>
        </w:rPr>
        <w:t xml:space="preserve"> </w:t>
      </w:r>
      <w:r>
        <w:rPr>
          <w:rFonts w:ascii="仿宋" w:hAnsi="仿宋" w:eastAsia="仿宋" w:cs="宋体"/>
          <w:color w:val="222222"/>
          <w:spacing w:val="10"/>
          <w:kern w:val="0"/>
          <w:sz w:val="32"/>
          <w:szCs w:val="32"/>
        </w:rPr>
        <w:t>在县脱贫攻坚指挥部的领导下，承担指挥部的日常工作，加强调查研究，搞好统筹协调，当好参谋助手，推进工作落实。</w:t>
      </w:r>
    </w:p>
    <w:p>
      <w:pPr>
        <w:numPr>
          <w:ilvl w:val="0"/>
          <w:numId w:val="1"/>
        </w:numPr>
        <w:shd w:val="clear" w:color="auto" w:fill="FFFFFF"/>
        <w:spacing w:line="360" w:lineRule="auto"/>
        <w:ind w:firstLine="680" w:firstLineChars="200"/>
        <w:rPr>
          <w:rFonts w:ascii="仿宋" w:hAnsi="仿宋" w:eastAsia="仿宋" w:cs="宋体"/>
          <w:color w:val="222222"/>
          <w:spacing w:val="10"/>
          <w:kern w:val="0"/>
          <w:sz w:val="32"/>
          <w:szCs w:val="32"/>
        </w:rPr>
      </w:pPr>
      <w:r>
        <w:rPr>
          <w:rFonts w:ascii="仿宋" w:hAnsi="仿宋" w:eastAsia="仿宋" w:cs="宋体"/>
          <w:color w:val="222222"/>
          <w:spacing w:val="10"/>
          <w:kern w:val="0"/>
          <w:sz w:val="32"/>
          <w:szCs w:val="32"/>
        </w:rPr>
        <w:t>认真贯彻落实上级各项工作部署，及时了解掌握精准脱贫攻坚进展情况、正反典型、主要经验，研究分析存在的问题，向指挥部报告并提出建议；</w:t>
      </w:r>
    </w:p>
    <w:p>
      <w:pPr>
        <w:numPr>
          <w:ilvl w:val="0"/>
          <w:numId w:val="1"/>
        </w:numPr>
        <w:shd w:val="clear" w:color="auto" w:fill="FFFFFF"/>
        <w:spacing w:line="360" w:lineRule="auto"/>
        <w:ind w:left="0" w:leftChars="0" w:firstLine="680" w:firstLineChars="200"/>
        <w:rPr>
          <w:rFonts w:ascii="仿宋" w:hAnsi="仿宋" w:eastAsia="仿宋" w:cs="宋体"/>
          <w:color w:val="222222"/>
          <w:spacing w:val="10"/>
          <w:kern w:val="0"/>
          <w:sz w:val="32"/>
          <w:szCs w:val="32"/>
        </w:rPr>
      </w:pPr>
      <w:r>
        <w:rPr>
          <w:rFonts w:ascii="仿宋" w:hAnsi="仿宋" w:eastAsia="仿宋" w:cs="宋体"/>
          <w:color w:val="222222"/>
          <w:spacing w:val="10"/>
          <w:kern w:val="0"/>
          <w:sz w:val="32"/>
          <w:szCs w:val="32"/>
        </w:rPr>
        <w:t>根据指挥部的要求，对全县脱贫攻坚情况进行检查、具体指导和相关服务工作；</w:t>
      </w:r>
    </w:p>
    <w:p>
      <w:pPr>
        <w:numPr>
          <w:ilvl w:val="0"/>
          <w:numId w:val="1"/>
        </w:numPr>
        <w:shd w:val="clear" w:color="auto" w:fill="FFFFFF"/>
        <w:spacing w:line="360" w:lineRule="auto"/>
        <w:ind w:left="0" w:leftChars="0" w:firstLine="680" w:firstLineChars="200"/>
        <w:rPr>
          <w:rFonts w:ascii="仿宋" w:hAnsi="仿宋" w:eastAsia="仿宋" w:cs="宋体"/>
          <w:color w:val="222222"/>
          <w:spacing w:val="10"/>
          <w:kern w:val="0"/>
          <w:sz w:val="32"/>
          <w:szCs w:val="32"/>
        </w:rPr>
      </w:pPr>
      <w:r>
        <w:rPr>
          <w:rFonts w:ascii="仿宋" w:hAnsi="仿宋" w:eastAsia="仿宋" w:cs="宋体"/>
          <w:color w:val="222222"/>
          <w:spacing w:val="10"/>
          <w:kern w:val="0"/>
          <w:sz w:val="32"/>
          <w:szCs w:val="32"/>
        </w:rPr>
        <w:t>编发全县脱贫攻坚工作简报，及时反映动态，交流工作经验；</w:t>
      </w:r>
    </w:p>
    <w:p>
      <w:pPr>
        <w:numPr>
          <w:ilvl w:val="0"/>
          <w:numId w:val="1"/>
        </w:numPr>
        <w:shd w:val="clear" w:color="auto" w:fill="FFFFFF"/>
        <w:spacing w:line="360" w:lineRule="auto"/>
        <w:ind w:left="0" w:leftChars="0" w:firstLine="680" w:firstLineChars="200"/>
        <w:rPr>
          <w:rFonts w:ascii="仿宋" w:hAnsi="仿宋" w:eastAsia="仿宋" w:cs="宋体"/>
          <w:color w:val="222222"/>
          <w:spacing w:val="10"/>
          <w:kern w:val="0"/>
          <w:sz w:val="32"/>
          <w:szCs w:val="32"/>
        </w:rPr>
      </w:pPr>
      <w:bookmarkStart w:id="0" w:name="_GoBack"/>
      <w:bookmarkEnd w:id="0"/>
      <w:r>
        <w:rPr>
          <w:rFonts w:ascii="仿宋" w:hAnsi="仿宋" w:eastAsia="仿宋" w:cs="宋体"/>
          <w:color w:val="222222"/>
          <w:spacing w:val="10"/>
          <w:kern w:val="0"/>
          <w:sz w:val="32"/>
          <w:szCs w:val="32"/>
        </w:rPr>
        <w:t>做好全县脱贫攻坚的情况综合、汇总统计及总结工作；向省市报送脱贫工作动态；</w:t>
      </w:r>
    </w:p>
    <w:p>
      <w:pPr>
        <w:autoSpaceDE w:val="0"/>
        <w:spacing w:line="432" w:lineRule="auto"/>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2、部门预算单位构成：</w:t>
      </w:r>
    </w:p>
    <w:p>
      <w:pPr>
        <w:widowControl/>
        <w:shd w:val="clear" w:color="auto" w:fill="FFFFFF"/>
        <w:spacing w:line="404" w:lineRule="atLeast"/>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永和县脱贫攻坚指挥部办公室</w:t>
      </w:r>
      <w:r>
        <w:rPr>
          <w:rFonts w:ascii="仿宋" w:hAnsi="仿宋" w:eastAsia="仿宋" w:cs="宋体"/>
          <w:color w:val="222222"/>
          <w:spacing w:val="10"/>
          <w:kern w:val="0"/>
          <w:sz w:val="32"/>
          <w:szCs w:val="32"/>
        </w:rPr>
        <w:t>设置</w:t>
      </w:r>
      <w:r>
        <w:rPr>
          <w:rFonts w:hint="eastAsia" w:ascii="仿宋" w:hAnsi="仿宋" w:eastAsia="仿宋" w:cs="宋体"/>
          <w:color w:val="222222"/>
          <w:spacing w:val="10"/>
          <w:kern w:val="0"/>
          <w:sz w:val="32"/>
          <w:szCs w:val="32"/>
        </w:rPr>
        <w:t>8个</w:t>
      </w:r>
      <w:r>
        <w:rPr>
          <w:rFonts w:ascii="仿宋" w:hAnsi="仿宋" w:eastAsia="仿宋" w:cs="宋体"/>
          <w:color w:val="222222"/>
          <w:spacing w:val="10"/>
          <w:kern w:val="0"/>
          <w:sz w:val="32"/>
          <w:szCs w:val="32"/>
        </w:rPr>
        <w:t>职能科室，分别</w:t>
      </w:r>
      <w:r>
        <w:rPr>
          <w:rFonts w:hint="eastAsia" w:ascii="仿宋" w:hAnsi="仿宋" w:eastAsia="仿宋" w:cs="宋体"/>
          <w:color w:val="222222"/>
          <w:spacing w:val="10"/>
          <w:kern w:val="0"/>
          <w:sz w:val="32"/>
          <w:szCs w:val="32"/>
        </w:rPr>
        <w:t>综合协调组、宣传报道组、干部住村帮扶组、督导考核组、易地扶贫搬迁组、社会保障组、产业扶贫组、金融扶贫组。</w:t>
      </w:r>
    </w:p>
    <w:p>
      <w:pPr>
        <w:widowControl/>
        <w:shd w:val="clear" w:color="auto" w:fill="FFFFFF"/>
        <w:spacing w:line="404" w:lineRule="atLeast"/>
        <w:ind w:firstLine="602"/>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2"/>
          <w:szCs w:val="32"/>
        </w:rPr>
        <w:t>第二部分</w:t>
      </w:r>
      <w:r>
        <w:rPr>
          <w:rFonts w:hint="eastAsia" w:ascii="宋体" w:hAnsi="宋体" w:eastAsia="宋体" w:cs="宋体"/>
          <w:b/>
          <w:bCs/>
          <w:color w:val="222222"/>
          <w:spacing w:val="10"/>
          <w:kern w:val="0"/>
          <w:sz w:val="32"/>
          <w:szCs w:val="32"/>
        </w:rPr>
        <w:t> </w:t>
      </w:r>
      <w:r>
        <w:rPr>
          <w:rFonts w:hint="eastAsia" w:ascii="宋体" w:hAnsi="宋体" w:eastAsia="宋体" w:cs="宋体"/>
          <w:b/>
          <w:bCs/>
          <w:color w:val="222222"/>
          <w:spacing w:val="10"/>
          <w:kern w:val="0"/>
          <w:sz w:val="32"/>
        </w:rPr>
        <w:t> </w:t>
      </w:r>
      <w:r>
        <w:rPr>
          <w:rFonts w:hint="eastAsia" w:ascii="仿宋" w:hAnsi="仿宋" w:eastAsia="仿宋" w:cs="宋体"/>
          <w:b/>
          <w:bCs/>
          <w:color w:val="222222"/>
          <w:spacing w:val="10"/>
          <w:kern w:val="0"/>
          <w:sz w:val="32"/>
          <w:szCs w:val="32"/>
        </w:rPr>
        <w:t>201</w:t>
      </w:r>
      <w:r>
        <w:rPr>
          <w:rFonts w:hint="eastAsia" w:ascii="仿宋" w:hAnsi="仿宋" w:eastAsia="仿宋" w:cs="宋体"/>
          <w:b/>
          <w:bCs/>
          <w:color w:val="222222"/>
          <w:spacing w:val="10"/>
          <w:kern w:val="0"/>
          <w:sz w:val="32"/>
          <w:szCs w:val="32"/>
          <w:lang w:val="en-US" w:eastAsia="zh-CN"/>
        </w:rPr>
        <w:t>8</w:t>
      </w:r>
      <w:r>
        <w:rPr>
          <w:rFonts w:hint="eastAsia" w:ascii="仿宋" w:hAnsi="仿宋" w:eastAsia="仿宋" w:cs="宋体"/>
          <w:b/>
          <w:bCs/>
          <w:color w:val="222222"/>
          <w:spacing w:val="10"/>
          <w:kern w:val="0"/>
          <w:sz w:val="32"/>
          <w:szCs w:val="32"/>
        </w:rPr>
        <w:t>年度部门预算报表</w:t>
      </w:r>
    </w:p>
    <w:p>
      <w:pPr>
        <w:widowControl/>
        <w:shd w:val="clear" w:color="auto" w:fill="FFFFFF"/>
        <w:spacing w:line="404" w:lineRule="atLeast"/>
        <w:ind w:firstLine="600"/>
        <w:rPr>
          <w:rFonts w:ascii="微软雅黑" w:hAnsi="微软雅黑" w:eastAsia="微软雅黑" w:cs="宋体"/>
          <w:color w:val="222222"/>
          <w:kern w:val="0"/>
          <w:sz w:val="22"/>
        </w:rPr>
      </w:pPr>
      <w:r>
        <w:rPr>
          <w:rFonts w:hint="eastAsia" w:ascii="仿宋" w:hAnsi="仿宋" w:eastAsia="仿宋" w:cs="宋体"/>
          <w:color w:val="222222"/>
          <w:spacing w:val="10"/>
          <w:kern w:val="0"/>
          <w:sz w:val="32"/>
          <w:szCs w:val="32"/>
        </w:rPr>
        <w:t>本部分内容见附表。</w:t>
      </w:r>
    </w:p>
    <w:p>
      <w:pPr>
        <w:widowControl/>
        <w:shd w:val="clear" w:color="auto" w:fill="FFFFFF"/>
        <w:spacing w:line="404" w:lineRule="atLeast"/>
        <w:ind w:firstLine="602"/>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2"/>
          <w:szCs w:val="32"/>
        </w:rPr>
        <w:t>第三部分</w:t>
      </w:r>
      <w:r>
        <w:rPr>
          <w:rFonts w:hint="eastAsia" w:ascii="宋体" w:hAnsi="宋体" w:eastAsia="宋体" w:cs="宋体"/>
          <w:b/>
          <w:bCs/>
          <w:color w:val="222222"/>
          <w:spacing w:val="10"/>
          <w:kern w:val="0"/>
          <w:sz w:val="32"/>
        </w:rPr>
        <w:t> </w:t>
      </w:r>
      <w:r>
        <w:rPr>
          <w:rFonts w:hint="eastAsia" w:ascii="宋体" w:hAnsi="宋体" w:eastAsia="宋体" w:cs="宋体"/>
          <w:b/>
          <w:bCs/>
          <w:color w:val="222222"/>
          <w:spacing w:val="10"/>
          <w:kern w:val="0"/>
          <w:sz w:val="32"/>
          <w:szCs w:val="32"/>
        </w:rPr>
        <w:t> </w:t>
      </w:r>
      <w:r>
        <w:rPr>
          <w:rFonts w:hint="eastAsia" w:ascii="仿宋" w:hAnsi="仿宋" w:eastAsia="仿宋" w:cs="仿宋"/>
          <w:b/>
          <w:bCs/>
          <w:color w:val="222222"/>
          <w:spacing w:val="10"/>
          <w:kern w:val="0"/>
          <w:sz w:val="32"/>
          <w:szCs w:val="32"/>
        </w:rPr>
        <w:t>201</w:t>
      </w:r>
      <w:r>
        <w:rPr>
          <w:rFonts w:hint="eastAsia" w:ascii="仿宋" w:hAnsi="仿宋" w:eastAsia="仿宋" w:cs="仿宋"/>
          <w:b/>
          <w:bCs/>
          <w:color w:val="222222"/>
          <w:spacing w:val="10"/>
          <w:kern w:val="0"/>
          <w:sz w:val="32"/>
          <w:szCs w:val="32"/>
          <w:lang w:val="en-US" w:eastAsia="zh-CN"/>
        </w:rPr>
        <w:t>8</w:t>
      </w:r>
      <w:r>
        <w:rPr>
          <w:rFonts w:hint="eastAsia" w:ascii="仿宋" w:hAnsi="仿宋" w:eastAsia="仿宋" w:cs="仿宋"/>
          <w:b/>
          <w:bCs/>
          <w:color w:val="222222"/>
          <w:spacing w:val="10"/>
          <w:kern w:val="0"/>
          <w:sz w:val="32"/>
          <w:szCs w:val="32"/>
        </w:rPr>
        <w:t>年</w:t>
      </w:r>
      <w:r>
        <w:rPr>
          <w:rFonts w:hint="eastAsia" w:ascii="仿宋" w:hAnsi="仿宋" w:eastAsia="仿宋" w:cs="宋体"/>
          <w:b/>
          <w:bCs/>
          <w:color w:val="222222"/>
          <w:spacing w:val="10"/>
          <w:kern w:val="0"/>
          <w:sz w:val="32"/>
          <w:szCs w:val="32"/>
        </w:rPr>
        <w:t>度部门预算情况说明</w:t>
      </w:r>
    </w:p>
    <w:p>
      <w:pPr>
        <w:widowControl/>
        <w:shd w:val="clear" w:color="auto" w:fill="FFFFFF"/>
        <w:spacing w:line="404" w:lineRule="atLeast"/>
        <w:ind w:firstLine="6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年度部门预算数据变动情况及原因</w:t>
      </w:r>
    </w:p>
    <w:p>
      <w:pPr>
        <w:widowControl/>
        <w:shd w:val="clear" w:color="auto" w:fill="FFFFFF"/>
        <w:spacing w:line="404" w:lineRule="atLeast"/>
        <w:ind w:firstLine="680" w:firstLineChars="200"/>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永和县脱贫攻坚指挥部办公室201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年部门财政拨款预算工作经费</w:t>
      </w:r>
      <w:r>
        <w:rPr>
          <w:rFonts w:hint="eastAsia" w:ascii="仿宋" w:hAnsi="仿宋" w:eastAsia="仿宋" w:cs="宋体"/>
          <w:color w:val="222222"/>
          <w:spacing w:val="10"/>
          <w:kern w:val="0"/>
          <w:sz w:val="32"/>
          <w:szCs w:val="32"/>
          <w:lang w:val="en-US" w:eastAsia="zh-CN"/>
        </w:rPr>
        <w:t>30</w:t>
      </w:r>
      <w:r>
        <w:rPr>
          <w:rFonts w:hint="eastAsia" w:ascii="仿宋" w:hAnsi="仿宋" w:eastAsia="仿宋" w:cs="宋体"/>
          <w:color w:val="222222"/>
          <w:spacing w:val="10"/>
          <w:kern w:val="0"/>
          <w:sz w:val="32"/>
          <w:szCs w:val="32"/>
        </w:rPr>
        <w:t>万元</w:t>
      </w:r>
      <w:r>
        <w:rPr>
          <w:rFonts w:hint="eastAsia" w:ascii="仿宋" w:hAnsi="仿宋" w:eastAsia="仿宋" w:cs="宋体"/>
          <w:color w:val="222222"/>
          <w:spacing w:val="10"/>
          <w:kern w:val="0"/>
          <w:sz w:val="32"/>
          <w:szCs w:val="32"/>
          <w:lang w:eastAsia="zh-CN"/>
        </w:rPr>
        <w:t>，比</w:t>
      </w:r>
      <w:r>
        <w:rPr>
          <w:rFonts w:hint="eastAsia" w:ascii="仿宋" w:hAnsi="仿宋" w:eastAsia="仿宋" w:cs="宋体"/>
          <w:color w:val="222222"/>
          <w:spacing w:val="10"/>
          <w:kern w:val="0"/>
          <w:sz w:val="32"/>
          <w:szCs w:val="32"/>
          <w:lang w:val="en-US" w:eastAsia="zh-CN"/>
        </w:rPr>
        <w:t>2017年预算减少170万元，下降85%，原因是财政资金紧张</w:t>
      </w:r>
      <w:r>
        <w:rPr>
          <w:rFonts w:hint="eastAsia" w:ascii="仿宋" w:hAnsi="仿宋" w:eastAsia="仿宋" w:cs="宋体"/>
          <w:color w:val="222222"/>
          <w:spacing w:val="10"/>
          <w:kern w:val="0"/>
          <w:sz w:val="32"/>
          <w:szCs w:val="32"/>
        </w:rPr>
        <w:t>。</w:t>
      </w:r>
    </w:p>
    <w:p>
      <w:pPr>
        <w:widowControl/>
        <w:numPr>
          <w:ilvl w:val="0"/>
          <w:numId w:val="0"/>
        </w:numPr>
        <w:shd w:val="clear" w:color="auto" w:fill="FFFFFF"/>
        <w:spacing w:line="240" w:lineRule="auto"/>
        <w:rPr>
          <w:rFonts w:hint="eastAsia" w:ascii="仿宋" w:hAnsi="仿宋" w:eastAsia="仿宋" w:cs="宋体"/>
          <w:color w:val="222222"/>
          <w:spacing w:val="10"/>
          <w:kern w:val="0"/>
          <w:sz w:val="32"/>
          <w:szCs w:val="32"/>
          <w:lang w:val="en-US" w:eastAsia="zh-CN"/>
        </w:rPr>
      </w:pPr>
      <w:r>
        <w:rPr>
          <w:rFonts w:hint="eastAsia" w:ascii="仿宋" w:hAnsi="仿宋" w:eastAsia="仿宋" w:cs="宋体"/>
          <w:color w:val="222222"/>
          <w:spacing w:val="10"/>
          <w:kern w:val="0"/>
          <w:sz w:val="32"/>
          <w:szCs w:val="32"/>
          <w:lang w:val="en-US" w:eastAsia="zh-CN"/>
        </w:rPr>
        <w:t xml:space="preserve">   2、“三公”经费增减变动原因说明     </w:t>
      </w:r>
    </w:p>
    <w:p>
      <w:pPr>
        <w:widowControl/>
        <w:numPr>
          <w:ilvl w:val="0"/>
          <w:numId w:val="0"/>
        </w:numPr>
        <w:shd w:val="clear" w:color="auto" w:fill="FFFFFF"/>
        <w:spacing w:line="404" w:lineRule="atLeast"/>
        <w:rPr>
          <w:rFonts w:hint="eastAsia" w:ascii="仿宋" w:hAnsi="仿宋" w:eastAsia="仿宋" w:cs="宋体"/>
          <w:color w:val="222222"/>
          <w:spacing w:val="10"/>
          <w:kern w:val="0"/>
          <w:sz w:val="32"/>
          <w:szCs w:val="32"/>
          <w:lang w:val="en-US" w:eastAsia="zh-CN"/>
        </w:rPr>
      </w:pPr>
      <w:r>
        <w:rPr>
          <w:rFonts w:hint="eastAsia" w:ascii="仿宋" w:hAnsi="仿宋" w:eastAsia="仿宋" w:cs="宋体"/>
          <w:color w:val="222222"/>
          <w:spacing w:val="10"/>
          <w:kern w:val="0"/>
          <w:sz w:val="32"/>
          <w:szCs w:val="32"/>
          <w:lang w:val="en-US" w:eastAsia="zh-CN"/>
        </w:rPr>
        <w:t xml:space="preserve">   3、机关运行经费增减变动原因说明</w:t>
      </w:r>
    </w:p>
    <w:p>
      <w:pPr>
        <w:widowControl/>
        <w:numPr>
          <w:ilvl w:val="0"/>
          <w:numId w:val="0"/>
        </w:numPr>
        <w:shd w:val="clear" w:color="auto" w:fill="FFFFFF"/>
        <w:spacing w:line="404" w:lineRule="atLeast"/>
        <w:rPr>
          <w:rFonts w:hint="eastAsia" w:ascii="仿宋" w:hAnsi="仿宋" w:eastAsia="仿宋" w:cs="宋体"/>
          <w:color w:val="222222"/>
          <w:spacing w:val="10"/>
          <w:kern w:val="0"/>
          <w:sz w:val="32"/>
          <w:szCs w:val="32"/>
          <w:lang w:val="en-US" w:eastAsia="zh-CN"/>
        </w:rPr>
      </w:pPr>
      <w:r>
        <w:rPr>
          <w:rFonts w:hint="eastAsia" w:ascii="仿宋" w:hAnsi="仿宋" w:eastAsia="仿宋" w:cs="宋体"/>
          <w:color w:val="222222"/>
          <w:spacing w:val="10"/>
          <w:kern w:val="0"/>
          <w:sz w:val="32"/>
          <w:szCs w:val="32"/>
          <w:lang w:val="en-US" w:eastAsia="zh-CN"/>
        </w:rPr>
        <w:t xml:space="preserve">   4、其他说明</w:t>
      </w:r>
    </w:p>
    <w:p>
      <w:pPr>
        <w:numPr>
          <w:ilvl w:val="0"/>
          <w:numId w:val="0"/>
        </w:numPr>
        <w:rPr>
          <w:rFonts w:hint="eastAsia" w:ascii="仿宋" w:hAnsi="仿宋" w:eastAsia="仿宋" w:cs="宋体"/>
          <w:color w:val="222222"/>
          <w:spacing w:val="10"/>
          <w:kern w:val="0"/>
          <w:sz w:val="32"/>
          <w:szCs w:val="32"/>
          <w:lang w:val="en-US" w:eastAsia="zh-CN"/>
        </w:rPr>
      </w:pPr>
      <w:r>
        <w:rPr>
          <w:rFonts w:hint="eastAsia" w:ascii="仿宋" w:hAnsi="仿宋" w:eastAsia="仿宋" w:cs="宋体"/>
          <w:color w:val="222222"/>
          <w:spacing w:val="10"/>
          <w:kern w:val="0"/>
          <w:sz w:val="32"/>
          <w:szCs w:val="32"/>
          <w:lang w:val="en-US" w:eastAsia="zh-CN"/>
        </w:rPr>
        <w:t xml:space="preserve">    （1）</w:t>
      </w:r>
      <w:r>
        <w:rPr>
          <w:rFonts w:hint="eastAsia" w:ascii="仿宋" w:hAnsi="仿宋" w:eastAsia="仿宋" w:cs="宋体"/>
          <w:color w:val="222222"/>
          <w:spacing w:val="10"/>
          <w:kern w:val="0"/>
          <w:sz w:val="32"/>
          <w:szCs w:val="32"/>
        </w:rPr>
        <w:t>政府采购情</w:t>
      </w:r>
      <w:r>
        <w:rPr>
          <w:rFonts w:hint="eastAsia" w:ascii="仿宋" w:hAnsi="仿宋" w:eastAsia="仿宋" w:cs="宋体"/>
          <w:color w:val="222222"/>
          <w:spacing w:val="10"/>
          <w:kern w:val="0"/>
          <w:sz w:val="32"/>
          <w:szCs w:val="32"/>
          <w:lang w:eastAsia="zh-CN"/>
        </w:rPr>
        <w:t>况：无</w:t>
      </w:r>
    </w:p>
    <w:p>
      <w:pPr>
        <w:numPr>
          <w:ilvl w:val="0"/>
          <w:numId w:val="0"/>
        </w:numPr>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lang w:val="en-US" w:eastAsia="zh-CN"/>
        </w:rPr>
        <w:t xml:space="preserve">    </w:t>
      </w:r>
      <w:r>
        <w:rPr>
          <w:rFonts w:hint="eastAsia" w:ascii="仿宋" w:hAnsi="仿宋" w:eastAsia="仿宋" w:cs="宋体"/>
          <w:color w:val="222222"/>
          <w:spacing w:val="10"/>
          <w:kern w:val="0"/>
          <w:sz w:val="32"/>
          <w:szCs w:val="32"/>
        </w:rPr>
        <w:t>（2）政府购买服务指导性目录</w:t>
      </w:r>
    </w:p>
    <w:p>
      <w:pPr>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lang w:val="en-US" w:eastAsia="zh-CN"/>
        </w:rPr>
        <w:t xml:space="preserve">    </w:t>
      </w:r>
      <w:r>
        <w:rPr>
          <w:rFonts w:hint="eastAsia" w:ascii="仿宋" w:hAnsi="仿宋" w:eastAsia="仿宋" w:cs="宋体"/>
          <w:color w:val="222222"/>
          <w:spacing w:val="10"/>
          <w:kern w:val="0"/>
          <w:sz w:val="32"/>
          <w:szCs w:val="32"/>
        </w:rPr>
        <w:t>（3）国有资产占有使用情况</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lang w:val="en-US" w:eastAsia="zh-CN"/>
        </w:rPr>
        <w:t xml:space="preserve">    </w:t>
      </w:r>
      <w:r>
        <w:rPr>
          <w:rFonts w:hint="eastAsia" w:ascii="仿宋" w:hAnsi="仿宋" w:eastAsia="仿宋" w:cs="宋体"/>
          <w:color w:val="222222"/>
          <w:spacing w:val="10"/>
          <w:kern w:val="0"/>
          <w:sz w:val="32"/>
          <w:szCs w:val="32"/>
        </w:rPr>
        <w:t>1.车辆情况：无车辆</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lang w:val="en-US" w:eastAsia="zh-CN"/>
        </w:rPr>
        <w:t xml:space="preserve">    </w:t>
      </w:r>
      <w:r>
        <w:rPr>
          <w:rFonts w:hint="eastAsia" w:ascii="仿宋" w:hAnsi="仿宋" w:eastAsia="仿宋" w:cs="宋体"/>
          <w:color w:val="222222"/>
          <w:spacing w:val="10"/>
          <w:kern w:val="0"/>
          <w:sz w:val="32"/>
          <w:szCs w:val="32"/>
        </w:rPr>
        <w:t>2.房屋情况：无</w:t>
      </w:r>
    </w:p>
    <w:p>
      <w:pPr>
        <w:ind w:firstLine="636"/>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lang w:val="en-US" w:eastAsia="zh-CN"/>
        </w:rPr>
        <w:t xml:space="preserve">    </w:t>
      </w:r>
      <w:r>
        <w:rPr>
          <w:rFonts w:hint="eastAsia" w:ascii="仿宋" w:hAnsi="仿宋" w:eastAsia="仿宋" w:cs="宋体"/>
          <w:color w:val="222222"/>
          <w:spacing w:val="10"/>
          <w:kern w:val="0"/>
          <w:sz w:val="32"/>
          <w:szCs w:val="32"/>
        </w:rPr>
        <w:t>3.其他国有资产占有使用情况：无</w:t>
      </w:r>
    </w:p>
    <w:p>
      <w:pPr>
        <w:ind w:firstLine="636"/>
        <w:rPr>
          <w:rFonts w:hint="eastAsia" w:ascii="仿宋" w:hAnsi="仿宋" w:eastAsia="仿宋" w:cs="宋体"/>
          <w:color w:val="222222"/>
          <w:spacing w:val="10"/>
          <w:kern w:val="0"/>
          <w:sz w:val="32"/>
          <w:szCs w:val="32"/>
          <w:lang w:eastAsia="zh-CN"/>
        </w:rPr>
      </w:pPr>
      <w:r>
        <w:rPr>
          <w:rFonts w:hint="eastAsia" w:ascii="仿宋" w:hAnsi="仿宋" w:eastAsia="仿宋" w:cs="宋体"/>
          <w:color w:val="222222"/>
          <w:spacing w:val="10"/>
          <w:kern w:val="0"/>
          <w:sz w:val="32"/>
          <w:szCs w:val="32"/>
        </w:rPr>
        <w:t>（</w:t>
      </w:r>
      <w:r>
        <w:rPr>
          <w:rFonts w:hint="eastAsia" w:ascii="仿宋" w:hAnsi="仿宋" w:eastAsia="仿宋" w:cs="宋体"/>
          <w:color w:val="222222"/>
          <w:spacing w:val="10"/>
          <w:kern w:val="0"/>
          <w:sz w:val="32"/>
          <w:szCs w:val="32"/>
          <w:lang w:val="en-US" w:eastAsia="zh-CN"/>
        </w:rPr>
        <w:t>4</w:t>
      </w:r>
      <w:r>
        <w:rPr>
          <w:rFonts w:hint="eastAsia" w:ascii="仿宋" w:hAnsi="仿宋" w:eastAsia="仿宋" w:cs="宋体"/>
          <w:color w:val="222222"/>
          <w:spacing w:val="10"/>
          <w:kern w:val="0"/>
          <w:sz w:val="32"/>
          <w:szCs w:val="32"/>
        </w:rPr>
        <w:t>）</w:t>
      </w:r>
      <w:r>
        <w:rPr>
          <w:rFonts w:hint="eastAsia" w:ascii="仿宋" w:hAnsi="仿宋" w:eastAsia="仿宋" w:cs="宋体"/>
          <w:color w:val="222222"/>
          <w:spacing w:val="10"/>
          <w:kern w:val="0"/>
          <w:sz w:val="32"/>
          <w:szCs w:val="32"/>
          <w:lang w:eastAsia="zh-CN"/>
        </w:rPr>
        <w:t>绩效管理情况：无</w:t>
      </w:r>
    </w:p>
    <w:p>
      <w:pPr>
        <w:ind w:firstLine="636"/>
        <w:rPr>
          <w:rFonts w:hint="eastAsia" w:ascii="仿宋" w:hAnsi="仿宋" w:eastAsia="仿宋" w:cs="宋体"/>
          <w:color w:val="222222"/>
          <w:spacing w:val="10"/>
          <w:kern w:val="0"/>
          <w:sz w:val="32"/>
          <w:szCs w:val="32"/>
          <w:lang w:val="en-US" w:eastAsia="zh-CN"/>
        </w:rPr>
      </w:pPr>
      <w:r>
        <w:rPr>
          <w:rFonts w:hint="eastAsia" w:ascii="仿宋" w:hAnsi="仿宋" w:eastAsia="仿宋" w:cs="宋体"/>
          <w:color w:val="222222"/>
          <w:spacing w:val="10"/>
          <w:kern w:val="0"/>
          <w:sz w:val="32"/>
          <w:szCs w:val="32"/>
        </w:rPr>
        <w:t>（</w:t>
      </w:r>
      <w:r>
        <w:rPr>
          <w:rFonts w:hint="eastAsia" w:ascii="仿宋" w:hAnsi="仿宋" w:eastAsia="仿宋" w:cs="宋体"/>
          <w:color w:val="222222"/>
          <w:spacing w:val="10"/>
          <w:kern w:val="0"/>
          <w:sz w:val="32"/>
          <w:szCs w:val="32"/>
          <w:lang w:val="en-US" w:eastAsia="zh-CN"/>
        </w:rPr>
        <w:t>5</w:t>
      </w:r>
      <w:r>
        <w:rPr>
          <w:rFonts w:hint="eastAsia" w:ascii="仿宋" w:hAnsi="仿宋" w:eastAsia="仿宋" w:cs="宋体"/>
          <w:color w:val="222222"/>
          <w:spacing w:val="10"/>
          <w:kern w:val="0"/>
          <w:sz w:val="32"/>
          <w:szCs w:val="32"/>
        </w:rPr>
        <w:t>）</w:t>
      </w:r>
      <w:r>
        <w:rPr>
          <w:rFonts w:hint="eastAsia" w:ascii="仿宋" w:hAnsi="仿宋" w:eastAsia="仿宋" w:cs="宋体"/>
          <w:color w:val="222222"/>
          <w:spacing w:val="10"/>
          <w:kern w:val="0"/>
          <w:sz w:val="32"/>
          <w:szCs w:val="32"/>
          <w:lang w:val="en-US" w:eastAsia="zh-CN"/>
        </w:rPr>
        <w:t>其他</w:t>
      </w:r>
    </w:p>
    <w:p>
      <w:pPr>
        <w:ind w:firstLine="636"/>
        <w:rPr>
          <w:rFonts w:hint="eastAsia" w:ascii="仿宋" w:hAnsi="仿宋" w:eastAsia="仿宋" w:cs="宋体"/>
          <w:color w:val="222222"/>
          <w:spacing w:val="10"/>
          <w:kern w:val="0"/>
          <w:sz w:val="32"/>
          <w:szCs w:val="32"/>
          <w:lang w:val="en-US" w:eastAsia="zh-CN"/>
        </w:rPr>
      </w:pPr>
    </w:p>
    <w:p>
      <w:pPr>
        <w:ind w:firstLine="636"/>
        <w:jc w:val="center"/>
        <w:rPr>
          <w:rFonts w:ascii="微软雅黑" w:hAnsi="微软雅黑" w:eastAsia="微软雅黑" w:cs="宋体"/>
          <w:color w:val="222222"/>
          <w:kern w:val="0"/>
          <w:sz w:val="22"/>
        </w:rPr>
      </w:pPr>
      <w:r>
        <w:rPr>
          <w:rFonts w:hint="eastAsia" w:ascii="仿宋" w:hAnsi="仿宋" w:eastAsia="仿宋" w:cs="宋体"/>
          <w:b/>
          <w:bCs/>
          <w:color w:val="222222"/>
          <w:kern w:val="0"/>
          <w:sz w:val="30"/>
          <w:szCs w:val="30"/>
        </w:rPr>
        <w:t>第四部分</w:t>
      </w:r>
      <w:r>
        <w:rPr>
          <w:rFonts w:hint="eastAsia" w:ascii="宋体" w:hAnsi="宋体" w:eastAsia="宋体" w:cs="宋体"/>
          <w:b/>
          <w:bCs/>
          <w:color w:val="222222"/>
          <w:kern w:val="0"/>
          <w:sz w:val="30"/>
          <w:szCs w:val="30"/>
        </w:rPr>
        <w:t>  </w:t>
      </w:r>
      <w:r>
        <w:rPr>
          <w:rFonts w:hint="eastAsia" w:ascii="宋体" w:hAnsi="宋体" w:eastAsia="宋体" w:cs="宋体"/>
          <w:b/>
          <w:bCs/>
          <w:color w:val="222222"/>
          <w:kern w:val="0"/>
          <w:sz w:val="30"/>
        </w:rPr>
        <w:t> </w:t>
      </w:r>
      <w:r>
        <w:rPr>
          <w:rFonts w:hint="eastAsia" w:ascii="仿宋" w:hAnsi="仿宋" w:eastAsia="仿宋" w:cs="宋体"/>
          <w:b/>
          <w:bCs/>
          <w:color w:val="222222"/>
          <w:kern w:val="0"/>
          <w:sz w:val="30"/>
          <w:szCs w:val="30"/>
        </w:rPr>
        <w:t>名词解释</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（1）基本支出：指为保障机构正常运转、完成日常</w:t>
      </w:r>
    </w:p>
    <w:p>
      <w:pPr>
        <w:autoSpaceDE w:val="0"/>
        <w:autoSpaceDN w:val="0"/>
        <w:adjustRightInd w:val="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工作任务而发生的人员支出和公用支出。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（2）项目支出：指在基本支出之外为完成特定行政任务和事业发展目标所发生的支出。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（4）机关运行经费：指行政单位和参照公务员法管理的事业单位使用一般公共预算安排的基本支出中的日常公用经费支出。</w:t>
      </w:r>
    </w:p>
    <w:p>
      <w:pPr>
        <w:widowControl/>
        <w:shd w:val="clear" w:color="auto" w:fill="FFFFFF"/>
        <w:spacing w:line="404" w:lineRule="atLeast"/>
        <w:ind w:firstLine="600"/>
        <w:rPr>
          <w:rFonts w:ascii="微软雅黑" w:hAnsi="微软雅黑" w:eastAsia="微软雅黑" w:cs="宋体"/>
          <w:color w:val="222222"/>
          <w:kern w:val="0"/>
          <w:sz w:val="2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4F3F3F7"/>
    <w:multiLevelType w:val="singleLevel"/>
    <w:tmpl w:val="D4F3F3F7"/>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2"/>
  </w:compat>
  <w:rsids>
    <w:rsidRoot w:val="004121EF"/>
    <w:rsid w:val="00001F9B"/>
    <w:rsid w:val="001427B4"/>
    <w:rsid w:val="00342058"/>
    <w:rsid w:val="004121EF"/>
    <w:rsid w:val="00546EDA"/>
    <w:rsid w:val="005A4A16"/>
    <w:rsid w:val="006762C7"/>
    <w:rsid w:val="007937DA"/>
    <w:rsid w:val="00817ED1"/>
    <w:rsid w:val="00A519C2"/>
    <w:rsid w:val="00B22C51"/>
    <w:rsid w:val="00D140D2"/>
    <w:rsid w:val="00D608C6"/>
    <w:rsid w:val="00D9664D"/>
    <w:rsid w:val="00FC5F55"/>
    <w:rsid w:val="10A64A5A"/>
    <w:rsid w:val="15DE3B14"/>
    <w:rsid w:val="1C260D2F"/>
    <w:rsid w:val="2E0177ED"/>
    <w:rsid w:val="39985E45"/>
    <w:rsid w:val="3B756822"/>
    <w:rsid w:val="42EE3A72"/>
    <w:rsid w:val="43483CAB"/>
    <w:rsid w:val="48CA5F33"/>
    <w:rsid w:val="506C04A1"/>
    <w:rsid w:val="53015363"/>
    <w:rsid w:val="55787FA8"/>
    <w:rsid w:val="60533AAF"/>
    <w:rsid w:val="61B87338"/>
    <w:rsid w:val="645A71CB"/>
    <w:rsid w:val="752419C0"/>
    <w:rsid w:val="79082667"/>
    <w:rsid w:val="7B721BED"/>
    <w:rsid w:val="7CB010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character" w:styleId="3">
    <w:name w:val="FollowedHyperlink"/>
    <w:basedOn w:val="2"/>
    <w:unhideWhenUsed/>
    <w:qFormat/>
    <w:uiPriority w:val="99"/>
    <w:rPr>
      <w:color w:val="222222"/>
      <w:u w:val="none"/>
    </w:rPr>
  </w:style>
  <w:style w:type="character" w:styleId="4">
    <w:name w:val="Hyperlink"/>
    <w:basedOn w:val="2"/>
    <w:unhideWhenUsed/>
    <w:qFormat/>
    <w:uiPriority w:val="99"/>
    <w:rPr>
      <w:color w:val="222222"/>
      <w:u w:val="none"/>
    </w:rPr>
  </w:style>
  <w:style w:type="character" w:customStyle="1" w:styleId="6">
    <w:name w:val="apple-converted-space"/>
    <w:basedOn w:val="2"/>
    <w:qFormat/>
    <w:uiPriority w:val="0"/>
  </w:style>
  <w:style w:type="paragraph" w:customStyle="1" w:styleId="7">
    <w:name w:val="列出段落1"/>
    <w:basedOn w:val="1"/>
    <w:qFormat/>
    <w:uiPriority w:val="34"/>
    <w:pPr>
      <w:ind w:firstLine="420" w:firstLineChars="200"/>
    </w:pPr>
  </w:style>
  <w:style w:type="character" w:customStyle="1" w:styleId="8">
    <w:name w:val="v"/>
    <w:basedOn w:val="2"/>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CD06E3-F137-4B36-8E6F-3DE0270009C3}">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Pages>
  <Words>137</Words>
  <Characters>785</Characters>
  <Lines>6</Lines>
  <Paragraphs>1</Paragraphs>
  <TotalTime>0</TotalTime>
  <ScaleCrop>false</ScaleCrop>
  <LinksUpToDate>false</LinksUpToDate>
  <CharactersWithSpaces>921</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2017-03-30T09:42:00Z</dcterms:created>
  <dc:creator>dreamsummit</dc:creator>
  <cp:lastModifiedBy>DELL</cp:lastModifiedBy>
  <dcterms:modified xsi:type="dcterms:W3CDTF">2018-05-09T07:41:51Z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