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永和县光荣院</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spacing w:val="10"/>
          <w:kern w:val="0"/>
          <w:sz w:val="36"/>
          <w:szCs w:val="36"/>
        </w:rPr>
        <w:t>年度部门预算情况说明</w:t>
      </w:r>
    </w:p>
    <w:p>
      <w:pPr>
        <w:widowControl/>
        <w:shd w:val="clear" w:color="auto" w:fill="FFFFFF"/>
        <w:spacing w:line="404" w:lineRule="atLeast"/>
        <w:jc w:val="center"/>
        <w:rPr>
          <w:rFonts w:ascii="微软雅黑" w:hAnsi="微软雅黑" w:eastAsia="微软雅黑" w:cs="宋体"/>
          <w:color w:val="222222"/>
          <w:kern w:val="0"/>
          <w:sz w:val="22"/>
        </w:rPr>
      </w:pPr>
    </w:p>
    <w:p>
      <w:pPr>
        <w:widowControl/>
        <w:shd w:val="clear" w:color="auto" w:fill="FFFFFF"/>
        <w:spacing w:line="404" w:lineRule="atLeast"/>
        <w:ind w:firstLine="562"/>
        <w:jc w:val="center"/>
        <w:rPr>
          <w:rFonts w:ascii="微软雅黑" w:hAnsi="微软雅黑" w:eastAsia="微软雅黑" w:cs="宋体"/>
          <w:color w:val="222222"/>
          <w:kern w:val="0"/>
          <w:sz w:val="22"/>
        </w:rPr>
      </w:pPr>
      <w:r>
        <w:rPr>
          <w:rFonts w:hint="eastAsia" w:ascii="宋体" w:hAnsi="宋体" w:eastAsia="宋体" w:cs="宋体"/>
          <w:b/>
          <w:bCs/>
          <w:color w:val="222222"/>
          <w:kern w:val="0"/>
          <w:sz w:val="28"/>
          <w:szCs w:val="28"/>
        </w:rPr>
        <w:t>第一部分</w:t>
      </w:r>
      <w:r>
        <w:rPr>
          <w:rFonts w:hint="eastAsia" w:ascii="宋体" w:hAnsi="宋体" w:eastAsia="宋体" w:cs="宋体"/>
          <w:b/>
          <w:bCs/>
          <w:color w:val="222222"/>
          <w:kern w:val="0"/>
          <w:sz w:val="28"/>
          <w:szCs w:val="28"/>
          <w:lang w:val="en-US" w:eastAsia="zh-CN"/>
        </w:rPr>
        <w:t xml:space="preserve">    </w:t>
      </w:r>
      <w:r>
        <w:rPr>
          <w:rFonts w:hint="eastAsia" w:ascii="宋体" w:hAnsi="宋体" w:eastAsia="宋体" w:cs="宋体"/>
          <w:b/>
          <w:bCs/>
          <w:color w:val="222222"/>
          <w:kern w:val="0"/>
          <w:sz w:val="28"/>
          <w:szCs w:val="28"/>
        </w:rPr>
        <w:t>概况</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1、</w:t>
      </w:r>
      <w:r>
        <w:rPr>
          <w:rFonts w:hint="eastAsia" w:ascii="仿宋" w:hAnsi="仿宋" w:eastAsia="仿宋" w:cs="宋体"/>
          <w:color w:val="222222"/>
          <w:spacing w:val="10"/>
          <w:kern w:val="0"/>
          <w:sz w:val="32"/>
          <w:szCs w:val="32"/>
        </w:rPr>
        <w:t>主要职能职责：</w:t>
      </w:r>
      <w:r>
        <w:rPr>
          <w:rFonts w:ascii="仿宋" w:hAnsi="仿宋" w:eastAsia="仿宋" w:cs="宋体"/>
          <w:color w:val="222222"/>
          <w:spacing w:val="10"/>
          <w:kern w:val="0"/>
          <w:sz w:val="32"/>
          <w:szCs w:val="32"/>
        </w:rPr>
        <w:t>负责收养烈士家属、病故军人家属、复退伤残军人等优抚抚老对象等工作</w:t>
      </w:r>
      <w:r>
        <w:rPr>
          <w:rFonts w:hint="eastAsia" w:ascii="仿宋" w:hAnsi="仿宋" w:eastAsia="仿宋" w:cs="宋体"/>
          <w:color w:val="222222"/>
          <w:spacing w:val="10"/>
          <w:kern w:val="0"/>
          <w:sz w:val="32"/>
          <w:szCs w:val="32"/>
        </w:rPr>
        <w:t>。</w:t>
      </w:r>
    </w:p>
    <w:p>
      <w:pPr>
        <w:ind w:firstLine="600" w:firstLineChars="200"/>
        <w:rPr>
          <w:rFonts w:ascii="仿宋" w:hAnsi="仿宋" w:eastAsia="仿宋"/>
          <w:sz w:val="30"/>
          <w:szCs w:val="30"/>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0"/>
          <w:szCs w:val="30"/>
        </w:rPr>
        <w:t>部门预算单位构成：</w:t>
      </w:r>
      <w:r>
        <w:rPr>
          <w:rFonts w:hint="eastAsia" w:ascii="仿宋" w:hAnsi="仿宋" w:eastAsia="仿宋"/>
          <w:sz w:val="30"/>
          <w:szCs w:val="30"/>
        </w:rPr>
        <w:t>永和县光荣院，属于全额拨款事业单位，属县民政局管理。我院有一个机构，统一发放工资。</w:t>
      </w:r>
    </w:p>
    <w:p>
      <w:pPr>
        <w:widowControl/>
        <w:shd w:val="clear" w:color="auto" w:fill="FFFFFF"/>
        <w:spacing w:line="404" w:lineRule="atLeast"/>
        <w:ind w:firstLine="600"/>
        <w:rPr>
          <w:rFonts w:ascii="仿宋" w:hAnsi="仿宋" w:eastAsia="仿宋" w:cs="宋体"/>
          <w:color w:val="222222"/>
          <w:spacing w:val="10"/>
          <w:kern w:val="0"/>
          <w:sz w:val="32"/>
          <w:szCs w:val="32"/>
        </w:rPr>
      </w:pP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hint="eastAsia" w:ascii="仿宋" w:hAnsi="仿宋" w:eastAsia="仿宋" w:cs="宋体"/>
          <w:b/>
          <w:bCs/>
          <w:color w:val="222222"/>
          <w:spacing w:val="10"/>
          <w:kern w:val="0"/>
          <w:sz w:val="32"/>
          <w:szCs w:val="32"/>
          <w:lang w:val="en-US" w:eastAsia="zh-CN"/>
        </w:rPr>
        <w:t xml:space="preserve">   </w:t>
      </w:r>
      <w:r>
        <w:rPr>
          <w:rFonts w:hint="eastAsia" w:ascii="仿宋" w:hAnsi="仿宋" w:eastAsia="仿宋" w:cs="宋体"/>
          <w:b/>
          <w:bCs/>
          <w:color w:val="222222"/>
          <w:spacing w:val="10"/>
          <w:kern w:val="0"/>
          <w:sz w:val="32"/>
          <w:szCs w:val="32"/>
        </w:rPr>
        <w:t>201</w:t>
      </w:r>
      <w:r>
        <w:rPr>
          <w:rFonts w:hint="eastAsia" w:ascii="仿宋" w:hAnsi="仿宋" w:eastAsia="仿宋" w:cs="宋体"/>
          <w:b/>
          <w:bCs/>
          <w:color w:val="222222"/>
          <w:spacing w:val="10"/>
          <w:kern w:val="0"/>
          <w:sz w:val="32"/>
          <w:szCs w:val="32"/>
          <w:lang w:val="en-US" w:eastAsia="zh-CN"/>
        </w:rPr>
        <w:t>8</w:t>
      </w:r>
      <w:r>
        <w:rPr>
          <w:rFonts w:hint="eastAsia" w:ascii="仿宋" w:hAnsi="仿宋" w:eastAsia="仿宋" w:cs="宋体"/>
          <w:b/>
          <w:bCs/>
          <w:color w:val="222222"/>
          <w:spacing w:val="10"/>
          <w:kern w:val="0"/>
          <w:sz w:val="32"/>
          <w:szCs w:val="32"/>
        </w:rPr>
        <w:t>年度部门预算报表</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lang w:val="en-US" w:eastAsia="zh-CN"/>
        </w:rPr>
        <w:t xml:space="preserve">   </w:t>
      </w:r>
      <w:r>
        <w:rPr>
          <w:rFonts w:hint="eastAsia" w:ascii="仿宋" w:hAnsi="仿宋" w:eastAsia="仿宋" w:cs="宋体"/>
          <w:b/>
          <w:bCs/>
          <w:color w:val="222222"/>
          <w:spacing w:val="10"/>
          <w:kern w:val="0"/>
          <w:sz w:val="32"/>
          <w:szCs w:val="32"/>
        </w:rPr>
        <w:t>第三部分</w:t>
      </w:r>
      <w:r>
        <w:rPr>
          <w:rFonts w:hint="eastAsia" w:ascii="仿宋" w:hAnsi="仿宋" w:eastAsia="仿宋" w:cs="宋体"/>
          <w:b/>
          <w:bCs/>
          <w:color w:val="222222"/>
          <w:spacing w:val="10"/>
          <w:kern w:val="0"/>
          <w:sz w:val="32"/>
          <w:szCs w:val="32"/>
          <w:lang w:val="en-US" w:eastAsia="zh-CN"/>
        </w:rPr>
        <w:t xml:space="preserve">   </w:t>
      </w:r>
      <w:r>
        <w:rPr>
          <w:rFonts w:hint="eastAsia" w:ascii="仿宋" w:hAnsi="仿宋" w:eastAsia="仿宋" w:cs="仿宋"/>
          <w:b/>
          <w:bCs/>
          <w:color w:val="222222"/>
          <w:spacing w:val="10"/>
          <w:kern w:val="0"/>
          <w:sz w:val="32"/>
          <w:szCs w:val="32"/>
        </w:rPr>
        <w:t>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年度部门预算数据变动情况及原因</w:t>
      </w:r>
    </w:p>
    <w:p>
      <w:pPr>
        <w:ind w:firstLine="680" w:firstLineChars="200"/>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rPr>
        <w:t>光荣院201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年部门财政拨款预算</w:t>
      </w:r>
      <w:r>
        <w:rPr>
          <w:rFonts w:hint="eastAsia" w:ascii="仿宋" w:hAnsi="仿宋" w:eastAsia="仿宋" w:cs="宋体"/>
          <w:color w:val="222222"/>
          <w:spacing w:val="10"/>
          <w:kern w:val="0"/>
          <w:sz w:val="32"/>
          <w:szCs w:val="32"/>
          <w:lang w:val="en-US" w:eastAsia="zh-CN"/>
        </w:rPr>
        <w:t>24</w:t>
      </w:r>
      <w:r>
        <w:rPr>
          <w:rFonts w:hint="eastAsia" w:ascii="仿宋" w:hAnsi="仿宋" w:eastAsia="仿宋" w:cs="宋体"/>
          <w:color w:val="222222"/>
          <w:spacing w:val="10"/>
          <w:kern w:val="0"/>
          <w:sz w:val="32"/>
          <w:szCs w:val="32"/>
        </w:rPr>
        <w:t>.9万元</w:t>
      </w:r>
      <w:r>
        <w:rPr>
          <w:rFonts w:hint="eastAsia" w:ascii="仿宋" w:hAnsi="仿宋" w:eastAsia="仿宋" w:cs="宋体"/>
          <w:color w:val="222222"/>
          <w:spacing w:val="10"/>
          <w:kern w:val="0"/>
          <w:sz w:val="32"/>
          <w:szCs w:val="32"/>
          <w:lang w:eastAsia="zh-CN"/>
        </w:rPr>
        <w:t>，</w:t>
      </w:r>
      <w:r>
        <w:rPr>
          <w:rFonts w:hint="eastAsia" w:ascii="仿宋" w:hAnsi="仿宋" w:eastAsia="仿宋" w:cs="宋体"/>
          <w:color w:val="222222"/>
          <w:spacing w:val="10"/>
          <w:kern w:val="0"/>
          <w:sz w:val="32"/>
          <w:szCs w:val="32"/>
          <w:lang w:val="en-US" w:eastAsia="zh-CN"/>
        </w:rPr>
        <w:t>比2017年预算增加，增长原因是项目支出增加。</w:t>
      </w:r>
    </w:p>
    <w:p>
      <w:pPr>
        <w:ind w:firstLine="600" w:firstLineChars="200"/>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“三公”经费增减变动原因说明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光荣院201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年“三公”经费</w:t>
      </w:r>
      <w:r>
        <w:rPr>
          <w:rFonts w:hint="eastAsia" w:ascii="仿宋" w:hAnsi="仿宋" w:eastAsia="仿宋" w:cs="宋体"/>
          <w:color w:val="222222"/>
          <w:spacing w:val="10"/>
          <w:kern w:val="0"/>
          <w:sz w:val="32"/>
          <w:szCs w:val="32"/>
          <w:lang w:val="en-US" w:eastAsia="zh-CN"/>
        </w:rPr>
        <w:t>无</w:t>
      </w:r>
      <w:r>
        <w:rPr>
          <w:rFonts w:hint="eastAsia" w:ascii="仿宋" w:hAnsi="仿宋" w:eastAsia="仿宋" w:cs="宋体"/>
          <w:color w:val="222222"/>
          <w:spacing w:val="10"/>
          <w:kern w:val="0"/>
          <w:sz w:val="32"/>
          <w:szCs w:val="32"/>
        </w:rPr>
        <w:t>财政拨款预算。</w:t>
      </w:r>
    </w:p>
    <w:p>
      <w:pPr>
        <w:ind w:firstLine="600" w:firstLineChars="200"/>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3、</w:t>
      </w:r>
      <w:r>
        <w:rPr>
          <w:rFonts w:hint="eastAsia" w:ascii="仿宋" w:hAnsi="仿宋" w:eastAsia="仿宋" w:cs="宋体"/>
          <w:color w:val="222222"/>
          <w:spacing w:val="10"/>
          <w:kern w:val="0"/>
          <w:sz w:val="32"/>
          <w:szCs w:val="32"/>
        </w:rPr>
        <w:t>机关运行经费增减变动原因说明</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rPr>
        <w:t>光荣院201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年机关运行经费财政拨款预算</w:t>
      </w:r>
      <w:r>
        <w:rPr>
          <w:rFonts w:hint="eastAsia" w:ascii="仿宋" w:hAnsi="仿宋" w:eastAsia="仿宋" w:cs="宋体"/>
          <w:color w:val="222222"/>
          <w:spacing w:val="10"/>
          <w:kern w:val="0"/>
          <w:sz w:val="32"/>
          <w:szCs w:val="32"/>
          <w:lang w:val="en-US" w:eastAsia="zh-CN"/>
        </w:rPr>
        <w:t>0.5</w:t>
      </w:r>
      <w:r>
        <w:rPr>
          <w:rFonts w:hint="eastAsia" w:ascii="仿宋" w:hAnsi="仿宋" w:eastAsia="仿宋" w:cs="宋体"/>
          <w:color w:val="222222"/>
          <w:spacing w:val="10"/>
          <w:kern w:val="0"/>
          <w:sz w:val="32"/>
          <w:szCs w:val="32"/>
        </w:rPr>
        <w:t>万元</w:t>
      </w:r>
      <w:r>
        <w:rPr>
          <w:rFonts w:hint="eastAsia" w:ascii="仿宋" w:hAnsi="仿宋" w:eastAsia="仿宋" w:cs="宋体"/>
          <w:color w:val="222222"/>
          <w:spacing w:val="10"/>
          <w:kern w:val="0"/>
          <w:sz w:val="32"/>
          <w:szCs w:val="32"/>
          <w:lang w:eastAsia="zh-CN"/>
        </w:rPr>
        <w:t>，</w:t>
      </w:r>
      <w:r>
        <w:rPr>
          <w:rFonts w:hint="eastAsia" w:ascii="仿宋" w:hAnsi="仿宋" w:eastAsia="仿宋" w:cs="宋体"/>
          <w:color w:val="222222"/>
          <w:spacing w:val="10"/>
          <w:kern w:val="0"/>
          <w:sz w:val="32"/>
          <w:szCs w:val="32"/>
          <w:lang w:val="en-US" w:eastAsia="zh-CN"/>
        </w:rPr>
        <w:t>比2017年预算减少，原因是人数减少1人。</w:t>
      </w:r>
    </w:p>
    <w:p>
      <w:pPr>
        <w:numPr>
          <w:ilvl w:val="0"/>
          <w:numId w:val="1"/>
        </w:num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其他说明</w:t>
      </w:r>
    </w:p>
    <w:p>
      <w:pPr>
        <w:widowControl/>
        <w:numPr>
          <w:ilvl w:val="0"/>
          <w:numId w:val="2"/>
        </w:numPr>
        <w:shd w:val="clear" w:color="auto" w:fill="FFFFFF"/>
        <w:spacing w:line="404" w:lineRule="atLeast"/>
        <w:ind w:firstLine="640" w:firstLineChars="200"/>
        <w:rPr>
          <w:rFonts w:hint="eastAsia" w:ascii="仿宋" w:hAnsi="仿宋" w:eastAsia="仿宋" w:cs="仿宋"/>
          <w:color w:val="222222"/>
          <w:kern w:val="0"/>
          <w:sz w:val="32"/>
          <w:szCs w:val="32"/>
          <w:lang w:eastAsia="zh-CN"/>
        </w:rPr>
      </w:pPr>
      <w:r>
        <w:rPr>
          <w:rFonts w:hint="eastAsia" w:ascii="仿宋" w:hAnsi="仿宋" w:eastAsia="仿宋" w:cs="仿宋"/>
          <w:color w:val="222222"/>
          <w:kern w:val="0"/>
          <w:sz w:val="32"/>
          <w:szCs w:val="32"/>
        </w:rPr>
        <w:t>政府采购：无</w:t>
      </w:r>
      <w:r>
        <w:rPr>
          <w:rFonts w:hint="eastAsia" w:ascii="仿宋" w:hAnsi="仿宋" w:eastAsia="仿宋" w:cs="仿宋"/>
          <w:color w:val="222222"/>
          <w:kern w:val="0"/>
          <w:sz w:val="32"/>
          <w:szCs w:val="32"/>
          <w:lang w:eastAsia="zh-CN"/>
        </w:rPr>
        <w:t>。</w:t>
      </w:r>
    </w:p>
    <w:p>
      <w:pPr>
        <w:widowControl/>
        <w:numPr>
          <w:ilvl w:val="0"/>
          <w:numId w:val="2"/>
        </w:numPr>
        <w:shd w:val="clear" w:color="auto" w:fill="FFFFFF"/>
        <w:spacing w:line="404" w:lineRule="atLeast"/>
        <w:ind w:firstLine="640" w:firstLineChars="200"/>
        <w:rPr>
          <w:rFonts w:hint="eastAsia" w:ascii="仿宋" w:hAnsi="仿宋" w:eastAsia="仿宋" w:cs="仿宋"/>
          <w:color w:val="222222"/>
          <w:kern w:val="0"/>
          <w:sz w:val="32"/>
          <w:szCs w:val="32"/>
          <w:lang w:val="en-US" w:eastAsia="zh-CN"/>
        </w:rPr>
      </w:pPr>
      <w:r>
        <w:rPr>
          <w:rFonts w:hint="eastAsia" w:ascii="仿宋" w:hAnsi="仿宋" w:eastAsia="仿宋" w:cs="仿宋"/>
          <w:color w:val="222222"/>
          <w:kern w:val="0"/>
          <w:sz w:val="32"/>
          <w:szCs w:val="32"/>
          <w:lang w:val="en-US" w:eastAsia="zh-CN"/>
        </w:rPr>
        <w:t>政府购买指导性目录：无。</w:t>
      </w:r>
    </w:p>
    <w:p>
      <w:pPr>
        <w:widowControl/>
        <w:numPr>
          <w:ilvl w:val="0"/>
          <w:numId w:val="2"/>
        </w:numPr>
        <w:shd w:val="clear" w:color="auto" w:fill="FFFFFF"/>
        <w:spacing w:line="404" w:lineRule="atLeast"/>
        <w:ind w:firstLine="640" w:firstLineChars="200"/>
        <w:rPr>
          <w:rFonts w:hint="eastAsia" w:ascii="仿宋" w:hAnsi="仿宋" w:eastAsia="仿宋" w:cs="仿宋"/>
          <w:color w:val="222222"/>
          <w:kern w:val="0"/>
          <w:sz w:val="32"/>
          <w:szCs w:val="32"/>
          <w:lang w:val="en-US" w:eastAsia="zh-CN"/>
        </w:rPr>
      </w:pPr>
      <w:r>
        <w:rPr>
          <w:rFonts w:hint="eastAsia" w:ascii="仿宋" w:hAnsi="仿宋" w:eastAsia="仿宋" w:cs="仿宋"/>
          <w:color w:val="222222"/>
          <w:kern w:val="0"/>
          <w:sz w:val="32"/>
          <w:szCs w:val="32"/>
          <w:lang w:val="en-US" w:eastAsia="zh-CN"/>
        </w:rPr>
        <w:t>国有资产占有使用情况：</w:t>
      </w:r>
    </w:p>
    <w:p>
      <w:pPr>
        <w:widowControl/>
        <w:numPr>
          <w:ilvl w:val="0"/>
          <w:numId w:val="3"/>
        </w:numPr>
        <w:shd w:val="clear" w:color="auto" w:fill="FFFFFF"/>
        <w:spacing w:line="404" w:lineRule="atLeast"/>
        <w:ind w:left="960" w:leftChars="0" w:firstLine="0" w:firstLineChars="0"/>
        <w:rPr>
          <w:rFonts w:hint="eastAsia" w:ascii="仿宋" w:hAnsi="仿宋" w:eastAsia="仿宋" w:cs="仿宋"/>
          <w:color w:val="222222"/>
          <w:kern w:val="0"/>
          <w:sz w:val="32"/>
          <w:szCs w:val="32"/>
          <w:lang w:val="en-US" w:eastAsia="zh-CN"/>
        </w:rPr>
      </w:pPr>
      <w:r>
        <w:rPr>
          <w:rFonts w:hint="eastAsia" w:ascii="仿宋" w:hAnsi="仿宋" w:eastAsia="仿宋" w:cs="仿宋"/>
          <w:color w:val="222222"/>
          <w:kern w:val="0"/>
          <w:sz w:val="32"/>
          <w:szCs w:val="32"/>
          <w:lang w:val="en-US" w:eastAsia="zh-CN"/>
        </w:rPr>
        <w:t>车辆情况：无</w:t>
      </w:r>
    </w:p>
    <w:p>
      <w:pPr>
        <w:widowControl/>
        <w:numPr>
          <w:ilvl w:val="0"/>
          <w:numId w:val="3"/>
        </w:numPr>
        <w:shd w:val="clear" w:color="auto" w:fill="FFFFFF"/>
        <w:spacing w:line="404" w:lineRule="atLeast"/>
        <w:ind w:left="960" w:leftChars="0" w:firstLine="0" w:firstLineChars="0"/>
        <w:rPr>
          <w:rFonts w:hint="eastAsia" w:ascii="仿宋" w:hAnsi="仿宋" w:eastAsia="仿宋" w:cs="仿宋"/>
          <w:color w:val="222222"/>
          <w:kern w:val="0"/>
          <w:sz w:val="32"/>
          <w:szCs w:val="32"/>
          <w:lang w:val="en-US" w:eastAsia="zh-CN"/>
        </w:rPr>
      </w:pPr>
      <w:r>
        <w:rPr>
          <w:rFonts w:hint="eastAsia" w:ascii="仿宋" w:hAnsi="仿宋" w:eastAsia="仿宋" w:cs="仿宋"/>
          <w:color w:val="222222"/>
          <w:kern w:val="0"/>
          <w:sz w:val="32"/>
          <w:szCs w:val="32"/>
          <w:lang w:val="en-US" w:eastAsia="zh-CN"/>
        </w:rPr>
        <w:t>房屋情况：无</w:t>
      </w:r>
    </w:p>
    <w:p>
      <w:pPr>
        <w:widowControl/>
        <w:numPr>
          <w:ilvl w:val="0"/>
          <w:numId w:val="3"/>
        </w:numPr>
        <w:shd w:val="clear" w:color="auto" w:fill="FFFFFF"/>
        <w:spacing w:line="404" w:lineRule="atLeast"/>
        <w:ind w:left="960" w:leftChars="0" w:firstLine="0" w:firstLineChars="0"/>
        <w:rPr>
          <w:rFonts w:hint="eastAsia" w:ascii="仿宋" w:hAnsi="仿宋" w:eastAsia="仿宋" w:cs="仿宋"/>
          <w:color w:val="222222"/>
          <w:kern w:val="0"/>
          <w:sz w:val="32"/>
          <w:szCs w:val="32"/>
          <w:lang w:val="en-US" w:eastAsia="zh-CN"/>
        </w:rPr>
      </w:pPr>
      <w:r>
        <w:rPr>
          <w:rFonts w:hint="eastAsia" w:ascii="仿宋" w:hAnsi="仿宋" w:eastAsia="仿宋" w:cs="仿宋"/>
          <w:color w:val="222222"/>
          <w:kern w:val="0"/>
          <w:sz w:val="32"/>
          <w:szCs w:val="32"/>
          <w:lang w:val="en-US" w:eastAsia="zh-CN"/>
        </w:rPr>
        <w:t>其它国有资产占有使用情况：无</w:t>
      </w:r>
    </w:p>
    <w:p>
      <w:pPr>
        <w:widowControl/>
        <w:numPr>
          <w:ilvl w:val="0"/>
          <w:numId w:val="3"/>
        </w:numPr>
        <w:shd w:val="clear" w:color="auto" w:fill="FFFFFF"/>
        <w:spacing w:line="404" w:lineRule="atLeast"/>
        <w:ind w:left="960" w:leftChars="0" w:firstLine="0" w:firstLineChars="0"/>
        <w:rPr>
          <w:rFonts w:hint="eastAsia" w:ascii="仿宋" w:hAnsi="仿宋" w:eastAsia="仿宋" w:cs="仿宋"/>
          <w:color w:val="222222"/>
          <w:kern w:val="0"/>
          <w:sz w:val="32"/>
          <w:szCs w:val="32"/>
          <w:lang w:val="en-US" w:eastAsia="zh-CN"/>
        </w:rPr>
      </w:pPr>
      <w:r>
        <w:rPr>
          <w:rFonts w:hint="eastAsia" w:ascii="仿宋" w:hAnsi="仿宋" w:eastAsia="仿宋" w:cs="仿宋"/>
          <w:color w:val="222222"/>
          <w:kern w:val="0"/>
          <w:sz w:val="32"/>
          <w:szCs w:val="32"/>
          <w:lang w:val="en-US" w:eastAsia="zh-CN"/>
        </w:rPr>
        <w:t>绩效管理情况：无。</w:t>
      </w:r>
    </w:p>
    <w:p>
      <w:pPr>
        <w:widowControl/>
        <w:numPr>
          <w:ilvl w:val="0"/>
          <w:numId w:val="3"/>
        </w:numPr>
        <w:shd w:val="clear" w:color="auto" w:fill="FFFFFF"/>
        <w:spacing w:line="404" w:lineRule="atLeast"/>
        <w:ind w:left="960" w:leftChars="0" w:firstLine="0" w:firstLineChars="0"/>
        <w:rPr>
          <w:rFonts w:hint="eastAsia" w:ascii="仿宋" w:hAnsi="仿宋" w:eastAsia="仿宋" w:cs="仿宋"/>
          <w:color w:val="222222"/>
          <w:kern w:val="0"/>
          <w:sz w:val="32"/>
          <w:szCs w:val="32"/>
          <w:lang w:val="en-US" w:eastAsia="zh-CN"/>
        </w:rPr>
      </w:pPr>
      <w:r>
        <w:rPr>
          <w:rFonts w:hint="eastAsia" w:ascii="仿宋" w:hAnsi="仿宋" w:eastAsia="仿宋" w:cs="仿宋"/>
          <w:color w:val="222222"/>
          <w:kern w:val="0"/>
          <w:sz w:val="32"/>
          <w:szCs w:val="32"/>
          <w:lang w:val="en-US" w:eastAsia="zh-CN"/>
        </w:rPr>
        <w:t>其它。</w:t>
      </w:r>
      <w:bookmarkStart w:id="0" w:name="_GoBack"/>
      <w:bookmarkEnd w:id="0"/>
    </w:p>
    <w:p>
      <w:pPr>
        <w:numPr>
          <w:numId w:val="0"/>
        </w:numPr>
        <w:rPr>
          <w:rFonts w:hint="eastAsia" w:ascii="仿宋" w:hAnsi="仿宋" w:eastAsia="仿宋" w:cs="宋体"/>
          <w:color w:val="222222"/>
          <w:spacing w:val="10"/>
          <w:kern w:val="0"/>
          <w:sz w:val="32"/>
          <w:szCs w:val="32"/>
          <w:lang w:val="en-US" w:eastAsia="zh-CN"/>
        </w:rPr>
      </w:pP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hint="eastAsia" w:ascii="仿宋" w:hAnsi="仿宋" w:eastAsia="仿宋" w:cs="宋体"/>
          <w:b/>
          <w:bCs/>
          <w:color w:val="222222"/>
          <w:kern w:val="0"/>
          <w:sz w:val="30"/>
          <w:szCs w:val="30"/>
          <w:lang w:val="en-US" w:eastAsia="zh-CN"/>
        </w:rPr>
        <w:t xml:space="preserve">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40" w:firstLineChars="200"/>
        <w:rPr>
          <w:rFonts w:hint="eastAsia" w:asciiTheme="minorEastAsia" w:hAnsiTheme="minorEastAsia" w:cstheme="minorEastAsia"/>
          <w:color w:val="222222"/>
          <w:kern w:val="0"/>
          <w:sz w:val="32"/>
          <w:szCs w:val="32"/>
          <w:lang w:val="en-US" w:eastAsia="zh-CN"/>
        </w:rPr>
      </w:pPr>
      <w:r>
        <w:rPr>
          <w:rFonts w:hint="eastAsia" w:asciiTheme="minorEastAsia" w:hAnsiTheme="minorEastAsia" w:cstheme="minorEastAsia"/>
          <w:color w:val="222222"/>
          <w:kern w:val="0"/>
          <w:sz w:val="32"/>
          <w:szCs w:val="32"/>
        </w:rPr>
        <w:t xml:space="preserve"> </w:t>
      </w:r>
    </w:p>
    <w:p>
      <w:pPr>
        <w:rPr>
          <w:rFonts w:asciiTheme="minorEastAsia" w:hAnsiTheme="minorEastAsia" w:cstheme="minorEastAsia"/>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F03FD3"/>
    <w:multiLevelType w:val="singleLevel"/>
    <w:tmpl w:val="88F03FD3"/>
    <w:lvl w:ilvl="0" w:tentative="0">
      <w:start w:val="1"/>
      <w:numFmt w:val="decimal"/>
      <w:suff w:val="nothing"/>
      <w:lvlText w:val="%1、"/>
      <w:lvlJc w:val="left"/>
      <w:pPr>
        <w:ind w:left="960" w:leftChars="0" w:firstLine="0" w:firstLineChars="0"/>
      </w:pPr>
    </w:lvl>
  </w:abstractNum>
  <w:abstractNum w:abstractNumId="1">
    <w:nsid w:val="E3F0DA2A"/>
    <w:multiLevelType w:val="singleLevel"/>
    <w:tmpl w:val="E3F0DA2A"/>
    <w:lvl w:ilvl="0" w:tentative="0">
      <w:start w:val="4"/>
      <w:numFmt w:val="decimal"/>
      <w:suff w:val="nothing"/>
      <w:lvlText w:val="%1、"/>
      <w:lvlJc w:val="left"/>
    </w:lvl>
  </w:abstractNum>
  <w:abstractNum w:abstractNumId="2">
    <w:nsid w:val="53E04CF4"/>
    <w:multiLevelType w:val="singleLevel"/>
    <w:tmpl w:val="53E04CF4"/>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1EF"/>
    <w:rsid w:val="000E18AB"/>
    <w:rsid w:val="00250B76"/>
    <w:rsid w:val="004121EF"/>
    <w:rsid w:val="00546EDA"/>
    <w:rsid w:val="005A4A16"/>
    <w:rsid w:val="005F62E9"/>
    <w:rsid w:val="006762C7"/>
    <w:rsid w:val="007937DA"/>
    <w:rsid w:val="008255B6"/>
    <w:rsid w:val="008B389B"/>
    <w:rsid w:val="00C22CF4"/>
    <w:rsid w:val="00D502FA"/>
    <w:rsid w:val="00D9537C"/>
    <w:rsid w:val="00E038E4"/>
    <w:rsid w:val="00E220EE"/>
    <w:rsid w:val="00FC5F55"/>
    <w:rsid w:val="10A474FB"/>
    <w:rsid w:val="2E502244"/>
    <w:rsid w:val="2FB525F1"/>
    <w:rsid w:val="3A910DA0"/>
    <w:rsid w:val="3FB75A4A"/>
    <w:rsid w:val="40E0263A"/>
    <w:rsid w:val="48ED2287"/>
    <w:rsid w:val="49B77A85"/>
    <w:rsid w:val="592C18FE"/>
    <w:rsid w:val="59C520DE"/>
    <w:rsid w:val="68B36C1B"/>
    <w:rsid w:val="68ED6CFF"/>
    <w:rsid w:val="69FF62D0"/>
    <w:rsid w:val="6EBF7AC4"/>
    <w:rsid w:val="79E802F0"/>
    <w:rsid w:val="7A4275D9"/>
    <w:rsid w:val="7A5E52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apple-converted-space"/>
    <w:basedOn w:val="4"/>
    <w:qFormat/>
    <w:uiPriority w:val="0"/>
  </w:style>
  <w:style w:type="paragraph" w:customStyle="1" w:styleId="7">
    <w:name w:val="列出段落1"/>
    <w:basedOn w:val="1"/>
    <w:qFormat/>
    <w:uiPriority w:val="34"/>
    <w:pPr>
      <w:ind w:firstLine="420" w:firstLineChars="200"/>
    </w:pPr>
  </w:style>
  <w:style w:type="character" w:customStyle="1" w:styleId="8">
    <w:name w:val="页眉 Char"/>
    <w:basedOn w:val="4"/>
    <w:link w:val="3"/>
    <w:semiHidden/>
    <w:qFormat/>
    <w:uiPriority w:val="99"/>
    <w:rPr>
      <w:sz w:val="18"/>
      <w:szCs w:val="18"/>
    </w:rPr>
  </w:style>
  <w:style w:type="character" w:customStyle="1" w:styleId="9">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104</Words>
  <Characters>598</Characters>
  <Lines>4</Lines>
  <Paragraphs>1</Paragraphs>
  <TotalTime>1</TotalTime>
  <ScaleCrop>false</ScaleCrop>
  <LinksUpToDate>false</LinksUpToDate>
  <CharactersWithSpaces>701</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cp:lastModifiedBy>
  <dcterms:modified xsi:type="dcterms:W3CDTF">2018-05-09T03:41:19Z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