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永和县综合检验检测中心</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一、主要职能职责：</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负责全县食品、药品、化妆品、保健食品和工农（畜）产（商）品的质量监督检验、评价性检验、委托检验和司法鉴定检验，综合上报和反馈食品、药品、化妆品、保健食品和农（畜）产（商）品质量信息，并提供相关分析报告。</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2、开展食品、药品、药包材、保健食品、化妆品和农（畜）产（商）品检测方法和检测新技术的科研工作。</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3、指导全县食品、药品、化妆品、保健食品和农（畜）产（商）品生产、经营、使用单位质量检验部门业务技术工作，协助解决技术疑难问题。</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4、参与药品不良反应、医疗器械不良事件和药物滥用信息的收集、核实、评价、上报等工作；指导不良反应报告单位的监测技术工作；负责开展与监测相关的科研和培训工作。</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5、协助有关部门开展食品、药品、医疗器械、保健食品、化妆品及农（畜）产（商）品的监督执法和突发事件的应急处置工作。</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6、承办县委、县政府交办的其他事项。</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二、部门预算单位构成：</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永和县综合检验检测中心成立于2014年1月，2015年财务独立核算。核定编制人数10人，目前配置8人，均为事业编制。其中：主任一名，副主一名。一个本级单位。</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1618" w:firstLineChars="474"/>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2018年度部门预算报表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 xml:space="preserve"> 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2018年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一、2018年度部门预算数据变动情况及原因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永和县综合检验检测中心2018年部门财政拨款预算47.4036万元。</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二、“三公”经费增减变动原因说明</w:t>
      </w:r>
      <w:bookmarkStart w:id="0" w:name="_GoBack"/>
      <w:bookmarkEnd w:id="0"/>
    </w:p>
    <w:p>
      <w:p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2018年“三公”经费财政拨款预算0万元，与上年一样。</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三、</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2018年机关运行经费财政拨款预5万元，与2017年一样。</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四、</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2.房屋情况：50平米</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（四）绩效管理情况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（五）其他</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Theme="minorEastAsia" w:hAnsiTheme="minorEastAsia" w:cstheme="minorEastAsia"/>
          <w:color w:val="222222"/>
          <w:kern w:val="0"/>
          <w:sz w:val="32"/>
          <w:szCs w:val="32"/>
        </w:rPr>
      </w:pPr>
      <w:r>
        <w:rPr>
          <w:rFonts w:hint="eastAsia" w:asciiTheme="minorEastAsia" w:hAnsiTheme="minorEastAsia" w:cstheme="minorEastAsia"/>
          <w:color w:val="222222"/>
          <w:kern w:val="0"/>
          <w:sz w:val="32"/>
          <w:szCs w:val="32"/>
        </w:rPr>
        <w:t>（5）政府采购：无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337B4"/>
    <w:rsid w:val="0010770E"/>
    <w:rsid w:val="001A64E1"/>
    <w:rsid w:val="001E5B04"/>
    <w:rsid w:val="00253CDA"/>
    <w:rsid w:val="00382130"/>
    <w:rsid w:val="00392EED"/>
    <w:rsid w:val="004121EF"/>
    <w:rsid w:val="004D1FB3"/>
    <w:rsid w:val="00505049"/>
    <w:rsid w:val="00546EDA"/>
    <w:rsid w:val="005A4A16"/>
    <w:rsid w:val="006762C7"/>
    <w:rsid w:val="00682616"/>
    <w:rsid w:val="007604A2"/>
    <w:rsid w:val="007937DA"/>
    <w:rsid w:val="00823E6C"/>
    <w:rsid w:val="008D4AC0"/>
    <w:rsid w:val="008D7137"/>
    <w:rsid w:val="00976627"/>
    <w:rsid w:val="00B35EB1"/>
    <w:rsid w:val="00CE5DAC"/>
    <w:rsid w:val="00CF2E5F"/>
    <w:rsid w:val="00F61B48"/>
    <w:rsid w:val="00FC5F55"/>
    <w:rsid w:val="00FC712B"/>
    <w:rsid w:val="017A7C33"/>
    <w:rsid w:val="0374166F"/>
    <w:rsid w:val="03791F66"/>
    <w:rsid w:val="145F5DB7"/>
    <w:rsid w:val="16377A26"/>
    <w:rsid w:val="16A42225"/>
    <w:rsid w:val="22052705"/>
    <w:rsid w:val="2B584CD1"/>
    <w:rsid w:val="37461DA6"/>
    <w:rsid w:val="5CD541C8"/>
    <w:rsid w:val="5F4A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uiPriority w:val="99"/>
    <w:rPr>
      <w:kern w:val="2"/>
      <w:sz w:val="18"/>
      <w:szCs w:val="18"/>
    </w:rPr>
  </w:style>
  <w:style w:type="character" w:customStyle="1" w:styleId="9">
    <w:name w:val="页脚 Char"/>
    <w:basedOn w:val="4"/>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177</Words>
  <Characters>1015</Characters>
  <Lines>8</Lines>
  <Paragraphs>2</Paragraphs>
  <TotalTime>0</TotalTime>
  <ScaleCrop>false</ScaleCrop>
  <LinksUpToDate>false</LinksUpToDate>
  <CharactersWithSpaces>1190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2018-05-09T01:45:45Z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