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spacing w:line="404" w:lineRule="atLeast"/>
        <w:jc w:val="center"/>
        <w:rPr>
          <w:rFonts w:ascii="Helvetica" w:hAnsi="Helvetica" w:eastAsia="宋体" w:cs="Helvetica"/>
          <w:color w:val="000000"/>
          <w:kern w:val="0"/>
          <w:szCs w:val="21"/>
        </w:rPr>
      </w:pPr>
      <w:r>
        <w:rPr>
          <w:rFonts w:hint="eastAsia" w:ascii="仿宋" w:hAnsi="Helvetica" w:eastAsia="仿宋" w:cs="Helvetica"/>
          <w:b/>
          <w:bCs/>
          <w:color w:val="222222"/>
          <w:spacing w:val="10"/>
          <w:kern w:val="0"/>
          <w:sz w:val="36"/>
          <w:szCs w:val="36"/>
        </w:rPr>
        <w:t>永和县民政局</w:t>
      </w:r>
    </w:p>
    <w:p>
      <w:pPr>
        <w:widowControl/>
        <w:shd w:val="clear" w:color="auto" w:fill="FFFFFF"/>
        <w:spacing w:line="404" w:lineRule="atLeast"/>
        <w:jc w:val="center"/>
        <w:rPr>
          <w:rFonts w:ascii="Helvetica" w:hAnsi="Helvetica" w:eastAsia="宋体" w:cs="Helvetica"/>
          <w:color w:val="000000"/>
          <w:kern w:val="0"/>
          <w:szCs w:val="21"/>
        </w:rPr>
      </w:pPr>
      <w:r>
        <w:rPr>
          <w:rFonts w:hint="eastAsia" w:ascii="仿宋" w:hAnsi="Helvetica" w:eastAsia="仿宋" w:cs="Helvetica"/>
          <w:b/>
          <w:bCs/>
          <w:color w:val="222222"/>
          <w:kern w:val="0"/>
          <w:sz w:val="36"/>
          <w:szCs w:val="36"/>
        </w:rPr>
        <w:t>201</w:t>
      </w:r>
      <w:r>
        <w:rPr>
          <w:rFonts w:hint="eastAsia" w:ascii="仿宋" w:hAnsi="Helvetica" w:eastAsia="仿宋" w:cs="Helvetica"/>
          <w:b/>
          <w:bCs/>
          <w:color w:val="222222"/>
          <w:kern w:val="0"/>
          <w:sz w:val="36"/>
          <w:szCs w:val="36"/>
          <w:lang w:val="en-US" w:eastAsia="zh-CN"/>
        </w:rPr>
        <w:t>8</w:t>
      </w:r>
      <w:r>
        <w:rPr>
          <w:rFonts w:hint="eastAsia" w:ascii="仿宋" w:hAnsi="Helvetica" w:eastAsia="仿宋" w:cs="Helvetica"/>
          <w:b/>
          <w:bCs/>
          <w:color w:val="222222"/>
          <w:spacing w:val="10"/>
          <w:kern w:val="0"/>
          <w:sz w:val="36"/>
          <w:szCs w:val="36"/>
        </w:rPr>
        <w:t>年度部门预算情况说明</w:t>
      </w:r>
    </w:p>
    <w:p>
      <w:pPr>
        <w:widowControl/>
        <w:shd w:val="clear" w:color="auto" w:fill="FFFFFF"/>
        <w:spacing w:line="404" w:lineRule="atLeast"/>
        <w:jc w:val="center"/>
        <w:rPr>
          <w:rFonts w:ascii="Helvetica" w:hAnsi="Helvetica" w:eastAsia="宋体" w:cs="Helvetica"/>
          <w:color w:val="000000"/>
          <w:kern w:val="0"/>
          <w:szCs w:val="21"/>
        </w:rPr>
      </w:pPr>
      <w:r>
        <w:rPr>
          <w:rFonts w:hint="eastAsia" w:ascii="宋体" w:hAnsi="宋体" w:eastAsia="宋体" w:cs="Helvetica"/>
          <w:color w:val="222222"/>
          <w:kern w:val="0"/>
          <w:sz w:val="44"/>
          <w:szCs w:val="44"/>
        </w:rPr>
        <w:t> </w:t>
      </w:r>
    </w:p>
    <w:p>
      <w:pPr>
        <w:widowControl/>
        <w:shd w:val="clear" w:color="auto" w:fill="FFFFFF"/>
        <w:spacing w:line="404" w:lineRule="atLeast"/>
        <w:ind w:firstLine="562"/>
        <w:jc w:val="center"/>
        <w:rPr>
          <w:rFonts w:ascii="Helvetica" w:hAnsi="Helvetica" w:eastAsia="宋体" w:cs="Helvetica"/>
          <w:color w:val="000000"/>
          <w:kern w:val="0"/>
          <w:szCs w:val="21"/>
        </w:rPr>
      </w:pPr>
      <w:r>
        <w:rPr>
          <w:rFonts w:hint="eastAsia" w:ascii="宋体" w:hAnsi="宋体" w:eastAsia="宋体" w:cs="Helvetica"/>
          <w:b/>
          <w:bCs/>
          <w:color w:val="222222"/>
          <w:kern w:val="0"/>
          <w:sz w:val="28"/>
          <w:szCs w:val="28"/>
        </w:rPr>
        <w:t>第一部分</w:t>
      </w:r>
      <w:r>
        <w:rPr>
          <w:rFonts w:hint="eastAsia" w:ascii="宋体" w:hAnsi="宋体" w:eastAsia="宋体" w:cs="Helvetica"/>
          <w:b/>
          <w:bCs/>
          <w:color w:val="222222"/>
          <w:kern w:val="0"/>
          <w:sz w:val="28"/>
          <w:szCs w:val="28"/>
          <w:lang w:val="en-US" w:eastAsia="zh-CN"/>
        </w:rPr>
        <w:t xml:space="preserve">    </w:t>
      </w:r>
      <w:r>
        <w:rPr>
          <w:rFonts w:hint="eastAsia" w:ascii="宋体" w:hAnsi="宋体" w:eastAsia="宋体" w:cs="Helvetica"/>
          <w:b/>
          <w:bCs/>
          <w:color w:val="222222"/>
          <w:kern w:val="0"/>
          <w:sz w:val="28"/>
          <w:szCs w:val="28"/>
        </w:rPr>
        <w:t>概况</w:t>
      </w:r>
    </w:p>
    <w:p>
      <w:pPr>
        <w:widowControl/>
        <w:shd w:val="clear" w:color="auto" w:fill="FFFFFF"/>
        <w:spacing w:line="404" w:lineRule="atLeast"/>
        <w:ind w:firstLine="600"/>
        <w:jc w:val="left"/>
        <w:rPr>
          <w:rFonts w:ascii="Helvetica" w:hAnsi="Helvetica" w:eastAsia="宋体" w:cs="Helvetica"/>
          <w:color w:val="000000"/>
          <w:kern w:val="0"/>
          <w:szCs w:val="21"/>
        </w:rPr>
      </w:pPr>
      <w:r>
        <w:rPr>
          <w:rFonts w:hint="eastAsia" w:ascii="仿宋" w:hAnsi="Helvetica" w:eastAsia="仿宋" w:cs="Helvetica"/>
          <w:color w:val="222222"/>
          <w:spacing w:val="10"/>
          <w:kern w:val="0"/>
          <w:sz w:val="32"/>
          <w:szCs w:val="32"/>
        </w:rPr>
        <w:t>1、主要职能职责：组织实施民政事业的法律、法规和方针政策；承担依法对全县性社会团体进行登记管理；负责全县优待抚恤工作；组织和指导全县拥军优属工作；负责全县退役士兵、复原干部的接收和安置工作；负责组织协调全县救灾工作；牵头拟订全县社会救助规划政策和标准工作；贯彻执行国家、省、市关于地名工作的方针和政策法律；拟订社会福利事业发展规划政策和标准；执行国家婚姻、殡葬管理和儿童收养政策；承担各类民政信息建设和管理工作。</w:t>
      </w:r>
    </w:p>
    <w:p>
      <w:pPr>
        <w:widowControl/>
        <w:shd w:val="clear" w:color="auto" w:fill="FFFFFF"/>
        <w:spacing w:line="404" w:lineRule="atLeast"/>
        <w:ind w:firstLine="300" w:firstLineChars="100"/>
        <w:jc w:val="left"/>
        <w:rPr>
          <w:rFonts w:ascii="Helvetica" w:hAnsi="Helvetica" w:eastAsia="宋体" w:cs="Helvetica"/>
          <w:color w:val="000000"/>
          <w:kern w:val="0"/>
          <w:szCs w:val="21"/>
        </w:rPr>
      </w:pPr>
      <w:r>
        <w:rPr>
          <w:rFonts w:hint="eastAsia" w:ascii="仿宋" w:hAnsi="Helvetica" w:eastAsia="仿宋" w:cs="Helvetica"/>
          <w:color w:val="222222"/>
          <w:kern w:val="0"/>
          <w:sz w:val="30"/>
          <w:szCs w:val="30"/>
        </w:rPr>
        <w:t>2、</w:t>
      </w:r>
      <w:r>
        <w:rPr>
          <w:rFonts w:hint="eastAsia" w:ascii="仿宋" w:hAnsi="Helvetica" w:eastAsia="仿宋" w:cs="Helvetica"/>
          <w:color w:val="222222"/>
          <w:spacing w:val="10"/>
          <w:kern w:val="0"/>
          <w:sz w:val="32"/>
          <w:szCs w:val="32"/>
        </w:rPr>
        <w:t>部门预算单位构成：永和县民政局内设3个机构：综合股、社会股、优抚股。下设4各单位：永和县民政局低保中心、永和县民政局社会福利院、永和县民政局养老院、永和县民政局阁底敬老院。</w:t>
      </w:r>
    </w:p>
    <w:p>
      <w:pPr>
        <w:widowControl/>
        <w:shd w:val="clear" w:color="auto" w:fill="FFFFFF"/>
        <w:spacing w:line="404" w:lineRule="atLeast"/>
        <w:jc w:val="center"/>
        <w:rPr>
          <w:rFonts w:ascii="Helvetica" w:hAnsi="Helvetica" w:eastAsia="宋体" w:cs="Helvetica"/>
          <w:color w:val="000000"/>
          <w:kern w:val="0"/>
          <w:szCs w:val="21"/>
        </w:rPr>
      </w:pPr>
      <w:r>
        <w:rPr>
          <w:rFonts w:hint="eastAsia" w:ascii="仿宋" w:hAnsi="Helvetica" w:eastAsia="仿宋" w:cs="Helvetica"/>
          <w:b/>
          <w:bCs/>
          <w:color w:val="222222"/>
          <w:spacing w:val="10"/>
          <w:kern w:val="0"/>
          <w:sz w:val="32"/>
          <w:szCs w:val="32"/>
        </w:rPr>
        <w:t>第二部分</w:t>
      </w:r>
      <w:r>
        <w:rPr>
          <w:rFonts w:hint="eastAsia" w:ascii="仿宋" w:hAnsi="Helvetica" w:eastAsia="仿宋" w:cs="Helvetica"/>
          <w:b/>
          <w:bCs/>
          <w:color w:val="222222"/>
          <w:spacing w:val="10"/>
          <w:kern w:val="0"/>
          <w:sz w:val="32"/>
          <w:szCs w:val="32"/>
          <w:lang w:val="en-US" w:eastAsia="zh-CN"/>
        </w:rPr>
        <w:t xml:space="preserve">    </w:t>
      </w:r>
      <w:r>
        <w:rPr>
          <w:rFonts w:hint="eastAsia" w:ascii="仿宋" w:hAnsi="Helvetica" w:eastAsia="仿宋" w:cs="Helvetica"/>
          <w:b/>
          <w:bCs/>
          <w:color w:val="222222"/>
          <w:spacing w:val="10"/>
          <w:kern w:val="0"/>
          <w:sz w:val="32"/>
          <w:szCs w:val="32"/>
        </w:rPr>
        <w:t>201</w:t>
      </w:r>
      <w:r>
        <w:rPr>
          <w:rFonts w:hint="eastAsia" w:ascii="仿宋" w:hAnsi="Helvetica" w:eastAsia="仿宋" w:cs="Helvetica"/>
          <w:b/>
          <w:bCs/>
          <w:color w:val="222222"/>
          <w:spacing w:val="10"/>
          <w:kern w:val="0"/>
          <w:sz w:val="32"/>
          <w:szCs w:val="32"/>
          <w:lang w:val="en-US" w:eastAsia="zh-CN"/>
        </w:rPr>
        <w:t>8</w:t>
      </w:r>
      <w:r>
        <w:rPr>
          <w:rFonts w:hint="eastAsia" w:ascii="仿宋" w:hAnsi="Helvetica" w:eastAsia="仿宋" w:cs="Helvetica"/>
          <w:b/>
          <w:bCs/>
          <w:color w:val="222222"/>
          <w:spacing w:val="10"/>
          <w:kern w:val="0"/>
          <w:sz w:val="32"/>
          <w:szCs w:val="32"/>
        </w:rPr>
        <w:t>年度部门预算报表</w:t>
      </w:r>
    </w:p>
    <w:p>
      <w:pPr>
        <w:widowControl/>
        <w:shd w:val="clear" w:color="auto" w:fill="FFFFFF"/>
        <w:spacing w:line="404" w:lineRule="atLeast"/>
        <w:ind w:firstLine="600"/>
        <w:jc w:val="left"/>
        <w:rPr>
          <w:rFonts w:ascii="Helvetica" w:hAnsi="Helvetica" w:eastAsia="宋体" w:cs="Helvetica"/>
          <w:color w:val="000000"/>
          <w:kern w:val="0"/>
          <w:szCs w:val="21"/>
        </w:rPr>
      </w:pPr>
      <w:r>
        <w:rPr>
          <w:rFonts w:hint="eastAsia" w:ascii="仿宋" w:hAnsi="Helvetica" w:eastAsia="仿宋" w:cs="Helvetica"/>
          <w:color w:val="222222"/>
          <w:spacing w:val="10"/>
          <w:kern w:val="0"/>
          <w:sz w:val="32"/>
          <w:szCs w:val="32"/>
        </w:rPr>
        <w:t>本部分内容见附表。</w:t>
      </w:r>
    </w:p>
    <w:p>
      <w:pPr>
        <w:widowControl/>
        <w:shd w:val="clear" w:color="auto" w:fill="FFFFFF"/>
        <w:spacing w:line="404" w:lineRule="atLeast"/>
        <w:ind w:firstLine="602"/>
        <w:jc w:val="center"/>
        <w:rPr>
          <w:rFonts w:ascii="Helvetica" w:hAnsi="Helvetica" w:eastAsia="宋体" w:cs="Helvetica"/>
          <w:color w:val="000000"/>
          <w:kern w:val="0"/>
          <w:szCs w:val="21"/>
        </w:rPr>
      </w:pPr>
      <w:r>
        <w:rPr>
          <w:rFonts w:hint="eastAsia" w:ascii="仿宋" w:hAnsi="Helvetica" w:eastAsia="仿宋" w:cs="Helvetica"/>
          <w:b/>
          <w:bCs/>
          <w:color w:val="222222"/>
          <w:spacing w:val="10"/>
          <w:kern w:val="0"/>
          <w:sz w:val="32"/>
          <w:szCs w:val="32"/>
        </w:rPr>
        <w:t>第三部分</w:t>
      </w:r>
      <w:r>
        <w:rPr>
          <w:rFonts w:hint="eastAsia" w:ascii="仿宋" w:hAnsi="Helvetica" w:eastAsia="仿宋" w:cs="Helvetica"/>
          <w:b/>
          <w:bCs/>
          <w:color w:val="222222"/>
          <w:spacing w:val="10"/>
          <w:kern w:val="0"/>
          <w:sz w:val="32"/>
          <w:szCs w:val="32"/>
          <w:lang w:val="en-US" w:eastAsia="zh-CN"/>
        </w:rPr>
        <w:t xml:space="preserve">    </w:t>
      </w:r>
      <w:r>
        <w:rPr>
          <w:rFonts w:hint="eastAsia" w:ascii="仿宋" w:hAnsi="Helvetica" w:eastAsia="仿宋" w:cs="Helvetica"/>
          <w:b/>
          <w:bCs/>
          <w:color w:val="222222"/>
          <w:spacing w:val="10"/>
          <w:kern w:val="0"/>
          <w:sz w:val="32"/>
          <w:szCs w:val="32"/>
        </w:rPr>
        <w:t>201</w:t>
      </w:r>
      <w:r>
        <w:rPr>
          <w:rFonts w:hint="eastAsia" w:ascii="仿宋" w:hAnsi="Helvetica" w:eastAsia="仿宋" w:cs="Helvetica"/>
          <w:b/>
          <w:bCs/>
          <w:color w:val="222222"/>
          <w:spacing w:val="10"/>
          <w:kern w:val="0"/>
          <w:sz w:val="32"/>
          <w:szCs w:val="32"/>
          <w:lang w:val="en-US" w:eastAsia="zh-CN"/>
        </w:rPr>
        <w:t>8</w:t>
      </w:r>
      <w:r>
        <w:rPr>
          <w:rFonts w:hint="eastAsia" w:ascii="仿宋" w:hAnsi="Helvetica" w:eastAsia="仿宋" w:cs="Helvetica"/>
          <w:b/>
          <w:bCs/>
          <w:color w:val="222222"/>
          <w:spacing w:val="10"/>
          <w:kern w:val="0"/>
          <w:sz w:val="32"/>
          <w:szCs w:val="32"/>
        </w:rPr>
        <w:t>年度部门预算情况说明</w:t>
      </w:r>
    </w:p>
    <w:p>
      <w:pPr>
        <w:widowControl/>
        <w:shd w:val="clear" w:color="auto" w:fill="FFFFFF"/>
        <w:spacing w:line="404" w:lineRule="atLeast"/>
        <w:ind w:firstLine="600"/>
        <w:jc w:val="left"/>
        <w:rPr>
          <w:rFonts w:ascii="Helvetica" w:hAnsi="Helvetica" w:eastAsia="宋体" w:cs="Helvetica"/>
          <w:color w:val="000000"/>
          <w:kern w:val="0"/>
          <w:szCs w:val="21"/>
        </w:rPr>
      </w:pPr>
      <w:r>
        <w:rPr>
          <w:rFonts w:hint="eastAsia" w:ascii="仿宋" w:hAnsi="Helvetica" w:eastAsia="仿宋" w:cs="Helvetica"/>
          <w:color w:val="222222"/>
          <w:spacing w:val="10"/>
          <w:kern w:val="0"/>
          <w:sz w:val="32"/>
          <w:szCs w:val="32"/>
        </w:rPr>
        <w:t>1、201</w:t>
      </w:r>
      <w:r>
        <w:rPr>
          <w:rFonts w:hint="eastAsia" w:ascii="仿宋" w:hAnsi="Helvetica" w:eastAsia="仿宋" w:cs="Helvetica"/>
          <w:color w:val="222222"/>
          <w:spacing w:val="10"/>
          <w:kern w:val="0"/>
          <w:sz w:val="32"/>
          <w:szCs w:val="32"/>
          <w:lang w:val="en-US" w:eastAsia="zh-CN"/>
        </w:rPr>
        <w:t>8</w:t>
      </w:r>
      <w:r>
        <w:rPr>
          <w:rFonts w:hint="eastAsia" w:ascii="仿宋" w:hAnsi="Helvetica" w:eastAsia="仿宋" w:cs="Helvetica"/>
          <w:color w:val="222222"/>
          <w:spacing w:val="10"/>
          <w:kern w:val="0"/>
          <w:sz w:val="32"/>
          <w:szCs w:val="32"/>
        </w:rPr>
        <w:t>年度部门预算数据变动情况及原因</w:t>
      </w:r>
    </w:p>
    <w:p>
      <w:pPr>
        <w:widowControl/>
        <w:spacing w:line="350" w:lineRule="atLeast"/>
        <w:ind w:firstLine="636"/>
        <w:jc w:val="left"/>
        <w:rPr>
          <w:rFonts w:ascii="Helvetica" w:hAnsi="Helvetica" w:eastAsia="宋体" w:cs="Helvetica"/>
          <w:color w:val="000000"/>
          <w:kern w:val="0"/>
          <w:szCs w:val="21"/>
        </w:rPr>
      </w:pPr>
      <w:r>
        <w:rPr>
          <w:rFonts w:hint="eastAsia" w:ascii="仿宋" w:hAnsi="Helvetica" w:eastAsia="仿宋" w:cs="Helvetica"/>
          <w:color w:val="222222"/>
          <w:spacing w:val="10"/>
          <w:kern w:val="0"/>
          <w:sz w:val="32"/>
          <w:szCs w:val="32"/>
        </w:rPr>
        <w:t>民政局201</w:t>
      </w:r>
      <w:r>
        <w:rPr>
          <w:rFonts w:hint="eastAsia" w:ascii="仿宋" w:hAnsi="Helvetica" w:eastAsia="仿宋" w:cs="Helvetica"/>
          <w:color w:val="222222"/>
          <w:spacing w:val="10"/>
          <w:kern w:val="0"/>
          <w:sz w:val="32"/>
          <w:szCs w:val="32"/>
          <w:lang w:val="en-US" w:eastAsia="zh-CN"/>
        </w:rPr>
        <w:t>8</w:t>
      </w:r>
      <w:r>
        <w:rPr>
          <w:rFonts w:hint="eastAsia" w:ascii="仿宋" w:hAnsi="Helvetica" w:eastAsia="仿宋" w:cs="Helvetica"/>
          <w:color w:val="222222"/>
          <w:spacing w:val="10"/>
          <w:kern w:val="0"/>
          <w:sz w:val="32"/>
          <w:szCs w:val="32"/>
        </w:rPr>
        <w:t>年部门财政拨款预算</w:t>
      </w:r>
      <w:r>
        <w:rPr>
          <w:rFonts w:hint="eastAsia" w:ascii="仿宋" w:hAnsi="Helvetica" w:eastAsia="仿宋" w:cs="Helvetica"/>
          <w:color w:val="222222"/>
          <w:spacing w:val="10"/>
          <w:kern w:val="0"/>
          <w:sz w:val="32"/>
          <w:szCs w:val="32"/>
          <w:lang w:val="en-US" w:eastAsia="zh-CN"/>
        </w:rPr>
        <w:t>886.65</w:t>
      </w:r>
      <w:r>
        <w:rPr>
          <w:rFonts w:hint="eastAsia" w:ascii="仿宋" w:hAnsi="Helvetica" w:eastAsia="仿宋" w:cs="Helvetica"/>
          <w:color w:val="222222"/>
          <w:spacing w:val="10"/>
          <w:kern w:val="0"/>
          <w:sz w:val="32"/>
          <w:szCs w:val="32"/>
        </w:rPr>
        <w:t>万元，比</w:t>
      </w:r>
      <w:r>
        <w:rPr>
          <w:rFonts w:hint="eastAsia" w:ascii="仿宋" w:hAnsi="Helvetica" w:eastAsia="仿宋" w:cs="Helvetica"/>
          <w:color w:val="222222"/>
          <w:spacing w:val="10"/>
          <w:kern w:val="0"/>
          <w:sz w:val="32"/>
          <w:szCs w:val="32"/>
          <w:lang w:val="en-US" w:eastAsia="zh-CN"/>
        </w:rPr>
        <w:t>2017</w:t>
      </w:r>
      <w:r>
        <w:rPr>
          <w:rFonts w:hint="eastAsia" w:ascii="仿宋" w:hAnsi="Helvetica" w:eastAsia="仿宋" w:cs="Helvetica"/>
          <w:color w:val="222222"/>
          <w:spacing w:val="10"/>
          <w:kern w:val="0"/>
          <w:sz w:val="32"/>
          <w:szCs w:val="32"/>
        </w:rPr>
        <w:t>年预算增加</w:t>
      </w:r>
      <w:r>
        <w:rPr>
          <w:rFonts w:hint="eastAsia" w:ascii="仿宋" w:hAnsi="Helvetica" w:eastAsia="仿宋" w:cs="Helvetica"/>
          <w:color w:val="222222"/>
          <w:spacing w:val="10"/>
          <w:kern w:val="0"/>
          <w:sz w:val="32"/>
          <w:szCs w:val="32"/>
          <w:lang w:val="en-US" w:eastAsia="zh-CN"/>
        </w:rPr>
        <w:t>328.84</w:t>
      </w:r>
      <w:r>
        <w:rPr>
          <w:rFonts w:hint="eastAsia" w:ascii="仿宋" w:hAnsi="Helvetica" w:eastAsia="仿宋" w:cs="Helvetica"/>
          <w:color w:val="222222"/>
          <w:spacing w:val="10"/>
          <w:kern w:val="0"/>
          <w:sz w:val="32"/>
          <w:szCs w:val="32"/>
        </w:rPr>
        <w:t>万元，增加</w:t>
      </w:r>
      <w:r>
        <w:rPr>
          <w:rFonts w:hint="eastAsia" w:ascii="仿宋" w:hAnsi="Helvetica" w:eastAsia="仿宋" w:cs="Helvetica"/>
          <w:color w:val="222222"/>
          <w:spacing w:val="10"/>
          <w:kern w:val="0"/>
          <w:sz w:val="32"/>
          <w:szCs w:val="32"/>
          <w:lang w:val="en-US" w:eastAsia="zh-CN"/>
        </w:rPr>
        <w:t>59</w:t>
      </w:r>
      <w:r>
        <w:rPr>
          <w:rFonts w:hint="eastAsia" w:ascii="仿宋" w:hAnsi="Helvetica" w:eastAsia="仿宋" w:cs="Helvetica"/>
          <w:color w:val="222222"/>
          <w:spacing w:val="10"/>
          <w:kern w:val="0"/>
          <w:sz w:val="32"/>
          <w:szCs w:val="32"/>
        </w:rPr>
        <w:t>%,原因是</w:t>
      </w:r>
      <w:r>
        <w:rPr>
          <w:rFonts w:hint="eastAsia" w:ascii="仿宋" w:hAnsi="Helvetica" w:eastAsia="仿宋" w:cs="Helvetica"/>
          <w:color w:val="222222"/>
          <w:spacing w:val="10"/>
          <w:kern w:val="0"/>
          <w:sz w:val="32"/>
          <w:szCs w:val="32"/>
          <w:lang w:val="en-US" w:eastAsia="zh-CN"/>
        </w:rPr>
        <w:t>2018</w:t>
      </w:r>
      <w:r>
        <w:rPr>
          <w:rFonts w:hint="eastAsia" w:ascii="仿宋" w:hAnsi="Helvetica" w:eastAsia="仿宋" w:cs="Helvetica"/>
          <w:color w:val="222222"/>
          <w:spacing w:val="10"/>
          <w:kern w:val="0"/>
          <w:sz w:val="32"/>
          <w:szCs w:val="32"/>
        </w:rPr>
        <w:t>年</w:t>
      </w:r>
      <w:r>
        <w:rPr>
          <w:rFonts w:hint="eastAsia" w:ascii="仿宋" w:hAnsi="Helvetica" w:eastAsia="仿宋" w:cs="Helvetica"/>
          <w:color w:val="222222"/>
          <w:spacing w:val="10"/>
          <w:kern w:val="0"/>
          <w:sz w:val="32"/>
          <w:szCs w:val="32"/>
          <w:lang w:val="en-US" w:eastAsia="zh-CN"/>
        </w:rPr>
        <w:t>项目支出增多</w:t>
      </w:r>
      <w:r>
        <w:rPr>
          <w:rFonts w:hint="eastAsia" w:ascii="仿宋" w:hAnsi="Helvetica" w:eastAsia="仿宋" w:cs="Helvetica"/>
          <w:color w:val="222222"/>
          <w:spacing w:val="10"/>
          <w:kern w:val="0"/>
          <w:sz w:val="32"/>
          <w:szCs w:val="32"/>
        </w:rPr>
        <w:t>。</w:t>
      </w:r>
    </w:p>
    <w:p>
      <w:pPr>
        <w:widowControl/>
        <w:numPr>
          <w:ilvl w:val="0"/>
          <w:numId w:val="1"/>
        </w:numPr>
        <w:spacing w:line="350" w:lineRule="atLeast"/>
        <w:ind w:firstLine="636"/>
        <w:jc w:val="left"/>
        <w:rPr>
          <w:rFonts w:hint="eastAsia" w:ascii="仿宋" w:hAnsi="Helvetica" w:eastAsia="仿宋" w:cs="Helvetica"/>
          <w:color w:val="222222"/>
          <w:spacing w:val="10"/>
          <w:kern w:val="0"/>
          <w:sz w:val="32"/>
          <w:szCs w:val="32"/>
          <w:lang w:val="en-US" w:eastAsia="zh-CN"/>
        </w:rPr>
      </w:pPr>
      <w:r>
        <w:rPr>
          <w:rFonts w:hint="eastAsia" w:ascii="仿宋" w:hAnsi="Helvetica" w:eastAsia="仿宋" w:cs="Helvetica"/>
          <w:color w:val="222222"/>
          <w:spacing w:val="10"/>
          <w:kern w:val="0"/>
          <w:sz w:val="32"/>
          <w:szCs w:val="32"/>
        </w:rPr>
        <w:t>“三公”经费增减变动原因说明</w:t>
      </w:r>
    </w:p>
    <w:p>
      <w:pPr>
        <w:widowControl/>
        <w:numPr>
          <w:numId w:val="0"/>
        </w:numPr>
        <w:spacing w:line="350" w:lineRule="atLeast"/>
        <w:ind w:firstLine="1360" w:firstLineChars="400"/>
        <w:jc w:val="left"/>
        <w:rPr>
          <w:rFonts w:hint="eastAsia" w:ascii="仿宋" w:hAnsi="Helvetica" w:eastAsia="仿宋" w:cs="Helvetica"/>
          <w:color w:val="222222"/>
          <w:spacing w:val="10"/>
          <w:kern w:val="0"/>
          <w:sz w:val="32"/>
          <w:szCs w:val="32"/>
          <w:lang w:val="en-US" w:eastAsia="zh-CN"/>
        </w:rPr>
      </w:pPr>
      <w:r>
        <w:rPr>
          <w:rFonts w:hint="eastAsia" w:ascii="仿宋" w:hAnsi="Helvetica" w:eastAsia="仿宋" w:cs="Helvetica"/>
          <w:color w:val="222222"/>
          <w:spacing w:val="10"/>
          <w:kern w:val="0"/>
          <w:sz w:val="32"/>
          <w:szCs w:val="32"/>
          <w:lang w:val="en-US" w:eastAsia="zh-CN"/>
        </w:rPr>
        <w:t>无</w:t>
      </w:r>
    </w:p>
    <w:p>
      <w:pPr>
        <w:widowControl/>
        <w:spacing w:line="350" w:lineRule="atLeast"/>
        <w:ind w:firstLine="636"/>
        <w:jc w:val="left"/>
        <w:rPr>
          <w:rFonts w:ascii="Helvetica" w:hAnsi="Helvetica" w:eastAsia="宋体" w:cs="Helvetica"/>
          <w:color w:val="000000"/>
          <w:kern w:val="0"/>
          <w:szCs w:val="21"/>
        </w:rPr>
      </w:pPr>
      <w:r>
        <w:rPr>
          <w:rFonts w:hint="eastAsia" w:ascii="仿宋" w:hAnsi="Helvetica" w:eastAsia="仿宋" w:cs="Helvetica"/>
          <w:color w:val="222222"/>
          <w:kern w:val="0"/>
          <w:sz w:val="30"/>
          <w:szCs w:val="30"/>
        </w:rPr>
        <w:t>3、</w:t>
      </w:r>
      <w:r>
        <w:rPr>
          <w:rFonts w:hint="eastAsia" w:ascii="仿宋" w:hAnsi="Helvetica" w:eastAsia="仿宋" w:cs="Helvetica"/>
          <w:color w:val="222222"/>
          <w:spacing w:val="10"/>
          <w:kern w:val="0"/>
          <w:sz w:val="32"/>
          <w:szCs w:val="32"/>
        </w:rPr>
        <w:t>机关运行经费增减变动原因说明</w:t>
      </w:r>
    </w:p>
    <w:p>
      <w:pPr>
        <w:widowControl/>
        <w:spacing w:line="350" w:lineRule="atLeast"/>
        <w:ind w:firstLine="636"/>
        <w:jc w:val="left"/>
        <w:rPr>
          <w:rFonts w:hint="eastAsia" w:ascii="仿宋" w:hAnsi="Helvetica" w:eastAsia="仿宋" w:cs="Helvetica"/>
          <w:color w:val="222222"/>
          <w:spacing w:val="10"/>
          <w:kern w:val="0"/>
          <w:sz w:val="32"/>
          <w:szCs w:val="32"/>
          <w:lang w:val="en-US" w:eastAsia="zh-CN"/>
        </w:rPr>
      </w:pPr>
      <w:r>
        <w:rPr>
          <w:rFonts w:hint="eastAsia" w:ascii="仿宋" w:hAnsi="Helvetica" w:eastAsia="仿宋" w:cs="Helvetica"/>
          <w:color w:val="222222"/>
          <w:spacing w:val="10"/>
          <w:kern w:val="0"/>
          <w:sz w:val="32"/>
          <w:szCs w:val="32"/>
        </w:rPr>
        <w:t>民政局201</w:t>
      </w:r>
      <w:r>
        <w:rPr>
          <w:rFonts w:hint="eastAsia" w:ascii="仿宋" w:hAnsi="Helvetica" w:eastAsia="仿宋" w:cs="Helvetica"/>
          <w:color w:val="222222"/>
          <w:spacing w:val="10"/>
          <w:kern w:val="0"/>
          <w:sz w:val="32"/>
          <w:szCs w:val="32"/>
          <w:lang w:val="en-US" w:eastAsia="zh-CN"/>
        </w:rPr>
        <w:t>8</w:t>
      </w:r>
      <w:r>
        <w:rPr>
          <w:rFonts w:hint="eastAsia" w:ascii="仿宋" w:hAnsi="Helvetica" w:eastAsia="仿宋" w:cs="Helvetica"/>
          <w:color w:val="222222"/>
          <w:spacing w:val="10"/>
          <w:kern w:val="0"/>
          <w:sz w:val="32"/>
          <w:szCs w:val="32"/>
        </w:rPr>
        <w:t>年机关运行经费财政拨款预</w:t>
      </w:r>
      <w:r>
        <w:rPr>
          <w:rFonts w:hint="eastAsia" w:ascii="仿宋" w:hAnsi="Helvetica" w:eastAsia="仿宋" w:cs="Helvetica"/>
          <w:color w:val="222222"/>
          <w:spacing w:val="10"/>
          <w:kern w:val="0"/>
          <w:sz w:val="32"/>
          <w:szCs w:val="32"/>
          <w:lang w:val="en-US" w:eastAsia="zh-CN"/>
        </w:rPr>
        <w:t>算128.23</w:t>
      </w:r>
      <w:r>
        <w:rPr>
          <w:rFonts w:hint="eastAsia" w:ascii="仿宋" w:hAnsi="Helvetica" w:eastAsia="仿宋" w:cs="Helvetica"/>
          <w:color w:val="222222"/>
          <w:spacing w:val="10"/>
          <w:kern w:val="0"/>
          <w:sz w:val="32"/>
          <w:szCs w:val="32"/>
        </w:rPr>
        <w:t>万元</w:t>
      </w:r>
      <w:r>
        <w:rPr>
          <w:rFonts w:hint="eastAsia" w:ascii="仿宋" w:hAnsi="Helvetica" w:eastAsia="仿宋" w:cs="Helvetica"/>
          <w:color w:val="222222"/>
          <w:spacing w:val="10"/>
          <w:kern w:val="0"/>
          <w:sz w:val="32"/>
          <w:szCs w:val="32"/>
          <w:lang w:eastAsia="zh-CN"/>
        </w:rPr>
        <w:t>，</w:t>
      </w:r>
      <w:r>
        <w:rPr>
          <w:rFonts w:hint="eastAsia" w:ascii="仿宋" w:hAnsi="Helvetica" w:eastAsia="仿宋" w:cs="Helvetica"/>
          <w:color w:val="222222"/>
          <w:spacing w:val="10"/>
          <w:kern w:val="0"/>
          <w:sz w:val="32"/>
          <w:szCs w:val="32"/>
          <w:lang w:val="en-US" w:eastAsia="zh-CN"/>
        </w:rPr>
        <w:t>比2017年预算增加7.12万元，增长6%，原因是日常工作运行经费增加。</w:t>
      </w:r>
    </w:p>
    <w:p>
      <w:pPr>
        <w:widowControl/>
        <w:numPr>
          <w:ilvl w:val="0"/>
          <w:numId w:val="2"/>
        </w:numPr>
        <w:spacing w:line="350" w:lineRule="atLeast"/>
        <w:ind w:firstLine="636"/>
        <w:jc w:val="left"/>
        <w:rPr>
          <w:rFonts w:hint="eastAsia" w:ascii="仿宋" w:hAnsi="Helvetica" w:eastAsia="仿宋" w:cs="Helvetica"/>
          <w:color w:val="222222"/>
          <w:spacing w:val="10"/>
          <w:kern w:val="0"/>
          <w:sz w:val="32"/>
          <w:szCs w:val="32"/>
          <w:lang w:val="en-US" w:eastAsia="zh-CN"/>
        </w:rPr>
      </w:pPr>
      <w:r>
        <w:rPr>
          <w:rFonts w:hint="eastAsia" w:ascii="仿宋" w:hAnsi="Helvetica" w:eastAsia="仿宋" w:cs="Helvetica"/>
          <w:color w:val="222222"/>
          <w:spacing w:val="10"/>
          <w:kern w:val="0"/>
          <w:sz w:val="32"/>
          <w:szCs w:val="32"/>
          <w:lang w:val="en-US" w:eastAsia="zh-CN"/>
        </w:rPr>
        <w:t>其他说明</w:t>
      </w:r>
    </w:p>
    <w:p>
      <w:pPr>
        <w:widowControl/>
        <w:numPr>
          <w:ilvl w:val="0"/>
          <w:numId w:val="3"/>
        </w:numPr>
        <w:spacing w:line="350" w:lineRule="atLeast"/>
        <w:ind w:left="360" w:leftChars="0" w:firstLine="0" w:firstLineChars="0"/>
        <w:jc w:val="left"/>
        <w:rPr>
          <w:rFonts w:hint="eastAsia" w:ascii="仿宋" w:hAnsi="Helvetica" w:eastAsia="仿宋" w:cs="Helvetica"/>
          <w:color w:val="222222"/>
          <w:spacing w:val="10"/>
          <w:kern w:val="0"/>
          <w:sz w:val="32"/>
          <w:szCs w:val="32"/>
          <w:lang w:val="en-US" w:eastAsia="zh-CN"/>
        </w:rPr>
      </w:pPr>
      <w:r>
        <w:rPr>
          <w:rFonts w:hint="eastAsia" w:ascii="仿宋" w:hAnsi="Helvetica" w:eastAsia="仿宋" w:cs="Helvetica"/>
          <w:color w:val="222222"/>
          <w:spacing w:val="10"/>
          <w:kern w:val="0"/>
          <w:sz w:val="32"/>
          <w:szCs w:val="32"/>
          <w:lang w:val="en-US" w:eastAsia="zh-CN"/>
        </w:rPr>
        <w:t>政府采购情况</w:t>
      </w:r>
    </w:p>
    <w:p>
      <w:pPr>
        <w:widowControl/>
        <w:numPr>
          <w:numId w:val="0"/>
        </w:numPr>
        <w:spacing w:line="350" w:lineRule="atLeast"/>
        <w:ind w:left="360" w:leftChars="0" w:firstLine="680" w:firstLineChars="200"/>
        <w:jc w:val="left"/>
        <w:rPr>
          <w:rFonts w:hint="eastAsia" w:ascii="仿宋" w:hAnsi="Helvetica" w:eastAsia="仿宋" w:cs="Helvetica"/>
          <w:color w:val="222222"/>
          <w:spacing w:val="10"/>
          <w:kern w:val="0"/>
          <w:sz w:val="32"/>
          <w:szCs w:val="32"/>
          <w:lang w:val="en-US" w:eastAsia="zh-CN"/>
        </w:rPr>
      </w:pPr>
      <w:bookmarkStart w:id="0" w:name="_GoBack"/>
      <w:bookmarkEnd w:id="0"/>
      <w:r>
        <w:rPr>
          <w:rFonts w:hint="eastAsia" w:ascii="仿宋" w:hAnsi="Helvetica" w:eastAsia="仿宋" w:cs="Helvetica"/>
          <w:color w:val="222222"/>
          <w:spacing w:val="10"/>
          <w:kern w:val="0"/>
          <w:sz w:val="32"/>
          <w:szCs w:val="32"/>
          <w:lang w:val="en-US" w:eastAsia="zh-CN"/>
        </w:rPr>
        <w:t>无</w:t>
      </w:r>
    </w:p>
    <w:p>
      <w:pPr>
        <w:widowControl/>
        <w:numPr>
          <w:ilvl w:val="0"/>
          <w:numId w:val="3"/>
        </w:numPr>
        <w:spacing w:line="350" w:lineRule="atLeast"/>
        <w:ind w:left="360" w:leftChars="0" w:firstLine="0" w:firstLineChars="0"/>
        <w:jc w:val="left"/>
        <w:rPr>
          <w:rFonts w:hint="eastAsia" w:ascii="仿宋" w:hAnsi="Helvetica" w:eastAsia="仿宋" w:cs="Helvetica"/>
          <w:color w:val="222222"/>
          <w:spacing w:val="10"/>
          <w:kern w:val="0"/>
          <w:sz w:val="32"/>
          <w:szCs w:val="32"/>
          <w:lang w:val="en-US" w:eastAsia="zh-CN"/>
        </w:rPr>
      </w:pPr>
      <w:r>
        <w:rPr>
          <w:rFonts w:hint="eastAsia" w:ascii="仿宋" w:hAnsi="Helvetica" w:eastAsia="仿宋" w:cs="Helvetica"/>
          <w:color w:val="222222"/>
          <w:spacing w:val="10"/>
          <w:kern w:val="0"/>
          <w:sz w:val="32"/>
          <w:szCs w:val="32"/>
          <w:lang w:val="en-US" w:eastAsia="zh-CN"/>
        </w:rPr>
        <w:t>政府购买服务指导性目录</w:t>
      </w:r>
    </w:p>
    <w:p>
      <w:pPr>
        <w:widowControl/>
        <w:numPr>
          <w:ilvl w:val="0"/>
          <w:numId w:val="3"/>
        </w:numPr>
        <w:spacing w:line="350" w:lineRule="atLeast"/>
        <w:ind w:left="360" w:leftChars="0" w:firstLine="0" w:firstLineChars="0"/>
        <w:jc w:val="left"/>
        <w:rPr>
          <w:rFonts w:hint="eastAsia" w:ascii="仿宋" w:hAnsi="Helvetica" w:eastAsia="仿宋" w:cs="Helvetica"/>
          <w:color w:val="222222"/>
          <w:spacing w:val="10"/>
          <w:kern w:val="0"/>
          <w:sz w:val="32"/>
          <w:szCs w:val="32"/>
          <w:lang w:val="en-US" w:eastAsia="zh-CN"/>
        </w:rPr>
      </w:pPr>
      <w:r>
        <w:rPr>
          <w:rFonts w:hint="eastAsia" w:ascii="仿宋" w:hAnsi="Helvetica" w:eastAsia="仿宋" w:cs="Helvetica"/>
          <w:color w:val="222222"/>
          <w:spacing w:val="10"/>
          <w:kern w:val="0"/>
          <w:sz w:val="32"/>
          <w:szCs w:val="32"/>
          <w:lang w:val="en-US" w:eastAsia="zh-CN"/>
        </w:rPr>
        <w:t>国有资产占有使用情况</w:t>
      </w:r>
    </w:p>
    <w:p>
      <w:pPr>
        <w:widowControl/>
        <w:numPr>
          <w:ilvl w:val="0"/>
          <w:numId w:val="4"/>
        </w:numPr>
        <w:spacing w:line="350" w:lineRule="atLeast"/>
        <w:ind w:left="720" w:leftChars="0" w:firstLine="0" w:firstLineChars="0"/>
        <w:jc w:val="left"/>
        <w:rPr>
          <w:rFonts w:hint="eastAsia" w:ascii="仿宋" w:hAnsi="Helvetica" w:eastAsia="仿宋" w:cs="Helvetica"/>
          <w:color w:val="222222"/>
          <w:spacing w:val="10"/>
          <w:kern w:val="0"/>
          <w:sz w:val="32"/>
          <w:szCs w:val="32"/>
          <w:lang w:val="en-US" w:eastAsia="zh-CN"/>
        </w:rPr>
      </w:pPr>
      <w:r>
        <w:rPr>
          <w:rFonts w:hint="eastAsia" w:ascii="仿宋" w:hAnsi="Helvetica" w:eastAsia="仿宋" w:cs="Helvetica"/>
          <w:color w:val="222222"/>
          <w:spacing w:val="10"/>
          <w:kern w:val="0"/>
          <w:sz w:val="32"/>
          <w:szCs w:val="32"/>
          <w:lang w:val="en-US" w:eastAsia="zh-CN"/>
        </w:rPr>
        <w:t>车辆情况：无</w:t>
      </w:r>
    </w:p>
    <w:p>
      <w:pPr>
        <w:widowControl/>
        <w:numPr>
          <w:ilvl w:val="0"/>
          <w:numId w:val="4"/>
        </w:numPr>
        <w:spacing w:line="350" w:lineRule="atLeast"/>
        <w:ind w:left="720" w:leftChars="0" w:firstLine="0" w:firstLineChars="0"/>
        <w:jc w:val="left"/>
        <w:rPr>
          <w:rFonts w:hint="eastAsia" w:ascii="仿宋" w:hAnsi="Helvetica" w:eastAsia="仿宋" w:cs="Helvetica"/>
          <w:color w:val="222222"/>
          <w:spacing w:val="10"/>
          <w:kern w:val="0"/>
          <w:sz w:val="32"/>
          <w:szCs w:val="32"/>
          <w:lang w:val="en-US" w:eastAsia="zh-CN"/>
        </w:rPr>
      </w:pPr>
      <w:r>
        <w:rPr>
          <w:rFonts w:hint="eastAsia" w:ascii="仿宋" w:hAnsi="Helvetica" w:eastAsia="仿宋" w:cs="Helvetica"/>
          <w:color w:val="222222"/>
          <w:spacing w:val="10"/>
          <w:kern w:val="0"/>
          <w:sz w:val="32"/>
          <w:szCs w:val="32"/>
          <w:lang w:val="en-US" w:eastAsia="zh-CN"/>
        </w:rPr>
        <w:t>房屋情况：</w:t>
      </w:r>
    </w:p>
    <w:p>
      <w:pPr>
        <w:widowControl/>
        <w:numPr>
          <w:ilvl w:val="0"/>
          <w:numId w:val="4"/>
        </w:numPr>
        <w:spacing w:line="350" w:lineRule="atLeast"/>
        <w:ind w:left="720" w:leftChars="0" w:firstLine="0" w:firstLineChars="0"/>
        <w:jc w:val="left"/>
        <w:rPr>
          <w:rFonts w:hint="eastAsia" w:ascii="仿宋" w:hAnsi="Helvetica" w:eastAsia="仿宋" w:cs="Helvetica"/>
          <w:color w:val="222222"/>
          <w:spacing w:val="10"/>
          <w:kern w:val="0"/>
          <w:sz w:val="32"/>
          <w:szCs w:val="32"/>
          <w:lang w:val="en-US" w:eastAsia="zh-CN"/>
        </w:rPr>
      </w:pPr>
      <w:r>
        <w:rPr>
          <w:rFonts w:hint="eastAsia" w:ascii="仿宋" w:hAnsi="Helvetica" w:eastAsia="仿宋" w:cs="Helvetica"/>
          <w:color w:val="222222"/>
          <w:spacing w:val="10"/>
          <w:kern w:val="0"/>
          <w:sz w:val="32"/>
          <w:szCs w:val="32"/>
          <w:lang w:val="en-US" w:eastAsia="zh-CN"/>
        </w:rPr>
        <w:t>其他国有资产占有使用情况</w:t>
      </w:r>
    </w:p>
    <w:p>
      <w:pPr>
        <w:widowControl/>
        <w:numPr>
          <w:ilvl w:val="0"/>
          <w:numId w:val="4"/>
        </w:numPr>
        <w:spacing w:line="350" w:lineRule="atLeast"/>
        <w:ind w:left="720" w:leftChars="0" w:firstLine="0" w:firstLineChars="0"/>
        <w:jc w:val="left"/>
        <w:rPr>
          <w:rFonts w:hint="eastAsia" w:ascii="仿宋" w:hAnsi="Helvetica" w:eastAsia="仿宋" w:cs="Helvetica"/>
          <w:color w:val="222222"/>
          <w:spacing w:val="10"/>
          <w:kern w:val="0"/>
          <w:sz w:val="32"/>
          <w:szCs w:val="32"/>
          <w:lang w:val="en-US" w:eastAsia="zh-CN"/>
        </w:rPr>
      </w:pPr>
      <w:r>
        <w:rPr>
          <w:rFonts w:hint="eastAsia" w:ascii="仿宋" w:hAnsi="Helvetica" w:eastAsia="仿宋" w:cs="Helvetica"/>
          <w:color w:val="222222"/>
          <w:spacing w:val="10"/>
          <w:kern w:val="0"/>
          <w:sz w:val="32"/>
          <w:szCs w:val="32"/>
          <w:lang w:val="en-US" w:eastAsia="zh-CN"/>
        </w:rPr>
        <w:t>绩效管理情况：无</w:t>
      </w:r>
    </w:p>
    <w:p>
      <w:pPr>
        <w:ind w:firstLine="2252" w:firstLineChars="701"/>
        <w:rPr>
          <w:rFonts w:ascii="微软雅黑" w:hAnsi="微软雅黑" w:eastAsia="微软雅黑" w:cs="宋体"/>
          <w:color w:val="222222"/>
          <w:kern w:val="0"/>
          <w:sz w:val="32"/>
          <w:szCs w:val="32"/>
        </w:rPr>
      </w:pPr>
      <w:r>
        <w:rPr>
          <w:rFonts w:hint="eastAsia" w:ascii="仿宋" w:hAnsi="仿宋" w:eastAsia="仿宋" w:cs="宋体"/>
          <w:b/>
          <w:bCs/>
          <w:color w:val="222222"/>
          <w:kern w:val="0"/>
          <w:sz w:val="32"/>
          <w:szCs w:val="32"/>
        </w:rPr>
        <w:t>第四部分</w:t>
      </w:r>
      <w:r>
        <w:rPr>
          <w:rFonts w:hint="eastAsia" w:ascii="仿宋" w:hAnsi="仿宋" w:eastAsia="仿宋" w:cs="宋体"/>
          <w:b/>
          <w:bCs/>
          <w:color w:val="222222"/>
          <w:kern w:val="0"/>
          <w:sz w:val="32"/>
          <w:szCs w:val="32"/>
          <w:lang w:val="en-US" w:eastAsia="zh-CN"/>
        </w:rPr>
        <w:t xml:space="preserve">      </w:t>
      </w:r>
      <w:r>
        <w:rPr>
          <w:rFonts w:hint="eastAsia" w:ascii="仿宋" w:hAnsi="仿宋" w:eastAsia="仿宋" w:cs="宋体"/>
          <w:b/>
          <w:bCs/>
          <w:color w:val="222222"/>
          <w:kern w:val="0"/>
          <w:sz w:val="32"/>
          <w:szCs w:val="32"/>
        </w:rPr>
        <w:t>名词解释</w:t>
      </w:r>
    </w:p>
    <w:p>
      <w:pPr>
        <w:autoSpaceDE w:val="0"/>
        <w:autoSpaceDN w:val="0"/>
        <w:adjustRightInd w:val="0"/>
        <w:ind w:firstLine="680" w:firstLineChars="200"/>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（1）基本支出：指为保障机构正常运转、完成日常</w:t>
      </w:r>
    </w:p>
    <w:p>
      <w:pPr>
        <w:autoSpaceDE w:val="0"/>
        <w:autoSpaceDN w:val="0"/>
        <w:adjustRightInd w:val="0"/>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工作任务而发生的人员支出和公用支出。</w:t>
      </w:r>
    </w:p>
    <w:p>
      <w:pPr>
        <w:autoSpaceDE w:val="0"/>
        <w:autoSpaceDN w:val="0"/>
        <w:adjustRightInd w:val="0"/>
        <w:ind w:firstLine="680" w:firstLineChars="200"/>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（2）项目支出：指在基本支出之外为完成特定行政任务和事业发展目标所发生的支出。</w:t>
      </w:r>
    </w:p>
    <w:p>
      <w:pPr>
        <w:autoSpaceDE w:val="0"/>
        <w:autoSpaceDN w:val="0"/>
        <w:adjustRightInd w:val="0"/>
        <w:ind w:firstLine="680" w:firstLineChars="200"/>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3）“三公”经费：指市直部门用一般公共预算安排的因公出国（境）费、公务用车购置及运行费和公务接待费。其中，因公出国（境）费反映单位公务出国（境）的国际旅费、国外城市间交通费、住宿费、伙食费、培训费、公杂费等支出；公务用车购置费反映公务用车车辆购置支出（含车辆购置税）；公务用车运行维护费反映单位按规定保留的公务用车燃料费、维修费、过路过桥费、保险费、安全奖励费用等支出；公务接待费反映单位按规定开支的各类公务接待（含外宾接待）支出。</w:t>
      </w:r>
    </w:p>
    <w:p>
      <w:pPr>
        <w:autoSpaceDE w:val="0"/>
        <w:autoSpaceDN w:val="0"/>
        <w:adjustRightInd w:val="0"/>
        <w:ind w:firstLine="680" w:firstLineChars="200"/>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（4）机关运行经费：指行政单位和参照公务员法管理的事业单位使用一般公共预算安排的基本支出中的日常公用经费支出。</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Helvetica">
    <w:altName w:val="Arial"/>
    <w:panose1 w:val="020B0604020202020204"/>
    <w:charset w:val="00"/>
    <w:family w:val="swiss"/>
    <w:pitch w:val="default"/>
    <w:sig w:usb0="00000000" w:usb1="00000000" w:usb2="00000000" w:usb3="00000000" w:csb0="00000001"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 w:name="Arial">
    <w:panose1 w:val="020B0604020202020204"/>
    <w:charset w:val="00"/>
    <w:family w:val="swiss"/>
    <w:pitch w:val="default"/>
    <w:sig w:usb0="E0002EFF" w:usb1="C0007843" w:usb2="00000009" w:usb3="00000000" w:csb0="4000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2A3BAD3"/>
    <w:multiLevelType w:val="singleLevel"/>
    <w:tmpl w:val="82A3BAD3"/>
    <w:lvl w:ilvl="0" w:tentative="0">
      <w:start w:val="1"/>
      <w:numFmt w:val="decimal"/>
      <w:suff w:val="nothing"/>
      <w:lvlText w:val="%1、"/>
      <w:lvlJc w:val="left"/>
      <w:pPr>
        <w:ind w:left="720" w:leftChars="0" w:firstLine="0" w:firstLineChars="0"/>
      </w:pPr>
    </w:lvl>
  </w:abstractNum>
  <w:abstractNum w:abstractNumId="1">
    <w:nsid w:val="89AFFEF2"/>
    <w:multiLevelType w:val="singleLevel"/>
    <w:tmpl w:val="89AFFEF2"/>
    <w:lvl w:ilvl="0" w:tentative="0">
      <w:start w:val="2"/>
      <w:numFmt w:val="decimal"/>
      <w:suff w:val="nothing"/>
      <w:lvlText w:val="%1、"/>
      <w:lvlJc w:val="left"/>
    </w:lvl>
  </w:abstractNum>
  <w:abstractNum w:abstractNumId="2">
    <w:nsid w:val="DA45E126"/>
    <w:multiLevelType w:val="singleLevel"/>
    <w:tmpl w:val="DA45E126"/>
    <w:lvl w:ilvl="0" w:tentative="0">
      <w:start w:val="1"/>
      <w:numFmt w:val="decimal"/>
      <w:suff w:val="nothing"/>
      <w:lvlText w:val="（%1）"/>
      <w:lvlJc w:val="left"/>
      <w:pPr>
        <w:ind w:left="360" w:leftChars="0" w:firstLine="0" w:firstLineChars="0"/>
      </w:pPr>
    </w:lvl>
  </w:abstractNum>
  <w:abstractNum w:abstractNumId="3">
    <w:nsid w:val="359ED439"/>
    <w:multiLevelType w:val="singleLevel"/>
    <w:tmpl w:val="359ED439"/>
    <w:lvl w:ilvl="0" w:tentative="0">
      <w:start w:val="4"/>
      <w:numFmt w:val="decimal"/>
      <w:suff w:val="nothing"/>
      <w:lvlText w:val="%1、"/>
      <w:lvlJc w:val="left"/>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6CEB"/>
    <w:rsid w:val="000C6CEB"/>
    <w:rsid w:val="001C51EF"/>
    <w:rsid w:val="005521D6"/>
    <w:rsid w:val="007C1A71"/>
    <w:rsid w:val="00EB4C53"/>
    <w:rsid w:val="00F576CE"/>
    <w:rsid w:val="010D2DAF"/>
    <w:rsid w:val="0A7321BF"/>
    <w:rsid w:val="0AB02413"/>
    <w:rsid w:val="12206EE6"/>
    <w:rsid w:val="2C146496"/>
    <w:rsid w:val="39A14D19"/>
    <w:rsid w:val="6581364D"/>
    <w:rsid w:val="6F5A7A69"/>
    <w:rsid w:val="78AD4C1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qFormat/>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8"/>
    <w:semiHidden/>
    <w:unhideWhenUsed/>
    <w:qFormat/>
    <w:uiPriority w:val="99"/>
    <w:pPr>
      <w:tabs>
        <w:tab w:val="center" w:pos="4153"/>
        <w:tab w:val="right" w:pos="8306"/>
      </w:tabs>
      <w:snapToGrid w:val="0"/>
      <w:jc w:val="left"/>
    </w:pPr>
    <w:rPr>
      <w:sz w:val="18"/>
      <w:szCs w:val="18"/>
    </w:rPr>
  </w:style>
  <w:style w:type="paragraph" w:styleId="3">
    <w:name w:val="header"/>
    <w:basedOn w:val="1"/>
    <w:link w:val="7"/>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apple-converted-space"/>
    <w:basedOn w:val="4"/>
    <w:qFormat/>
    <w:uiPriority w:val="0"/>
  </w:style>
  <w:style w:type="character" w:customStyle="1" w:styleId="7">
    <w:name w:val="页眉 Char"/>
    <w:basedOn w:val="4"/>
    <w:link w:val="3"/>
    <w:semiHidden/>
    <w:qFormat/>
    <w:uiPriority w:val="99"/>
    <w:rPr>
      <w:kern w:val="2"/>
      <w:sz w:val="18"/>
      <w:szCs w:val="18"/>
    </w:rPr>
  </w:style>
  <w:style w:type="character" w:customStyle="1" w:styleId="8">
    <w:name w:val="页脚 Char"/>
    <w:basedOn w:val="4"/>
    <w:link w:val="2"/>
    <w:semiHidden/>
    <w:qFormat/>
    <w:uiPriority w:val="99"/>
    <w:rPr>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4340743-2B8A-433E-8548-FCECC09BE3DD}">
  <ds:schemaRefs/>
</ds:datastoreItem>
</file>

<file path=docProps/app.xml><?xml version="1.0" encoding="utf-8"?>
<Properties xmlns="http://schemas.openxmlformats.org/officeDocument/2006/extended-properties" xmlns:vt="http://schemas.openxmlformats.org/officeDocument/2006/docPropsVTypes">
  <Template>Normal</Template>
  <Company>Sky123.Org</Company>
  <Pages>3</Pages>
  <Words>142</Words>
  <Characters>811</Characters>
  <Lines>6</Lines>
  <Paragraphs>1</Paragraphs>
  <TotalTime>66</TotalTime>
  <ScaleCrop>false</ScaleCrop>
  <LinksUpToDate>false</LinksUpToDate>
  <CharactersWithSpaces>952</CharactersWithSpaces>
  <Application>WPS Office_10.1.0.7346_F1E327BC-269C-435d-A152-05C5408002CA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2017-03-29T08:06:00Z</dcterms:created>
  <dc:creator>Sky123.Org</dc:creator>
  <cp:lastModifiedBy>Administrator</cp:lastModifiedBy>
  <dcterms:modified xsi:type="dcterms:W3CDTF">2018-05-09T08:04:51Z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2052-10.1.0.7346</vt:lpwstr>
  </property>
</Properties>
</file>