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永和县中小企业局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autoSpaceDE w:val="0"/>
        <w:spacing w:line="432" w:lineRule="auto"/>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autoSpaceDE w:val="0"/>
        <w:spacing w:line="432" w:lineRule="auto"/>
        <w:ind w:firstLine="640" w:firstLineChars="200"/>
        <w:rPr>
          <w:rFonts w:ascii="仿宋_GB2312" w:hAnsi="微软雅黑" w:eastAsia="仿宋_GB2312" w:cs="仿宋_GB2312"/>
          <w:color w:val="222222"/>
          <w:sz w:val="32"/>
          <w:szCs w:val="32"/>
        </w:rPr>
      </w:pPr>
      <w:r>
        <w:rPr>
          <w:rFonts w:ascii="仿宋_GB2312" w:hAnsi="微软雅黑" w:eastAsia="仿宋_GB2312" w:cs="仿宋_GB2312"/>
          <w:color w:val="222222"/>
          <w:sz w:val="32"/>
          <w:szCs w:val="32"/>
        </w:rPr>
        <w:t>贯彻执行国家和省、市有关中小企业发展的方针、政策和法律、法规；研究制定我县中小企业发展措施并组织实施；深入开展有关我县中小企业发展的政策法规、经济运行、规划措施、目标任务、社会环境等方面的调查研究；根据国家的产业政策制定中小企业发展规划，调整中小企业产业以及产品结构，对全县中小企业发展中的重大问题提出政策建议；优化中小企业发展环境，依法保护中小企业的合法权益，为中小企业和个体工商户提供政策和法律、法规方面的咨询服务等工作。</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w:t>
      </w:r>
    </w:p>
    <w:p>
      <w:pPr>
        <w:autoSpaceDE w:val="0"/>
        <w:spacing w:line="432" w:lineRule="auto"/>
        <w:ind w:firstLine="640" w:firstLineChars="200"/>
        <w:rPr>
          <w:rFonts w:ascii="仿宋_GB2312" w:hAnsi="微软雅黑" w:eastAsia="仿宋_GB2312" w:cs="仿宋_GB2312"/>
          <w:color w:val="222222"/>
          <w:sz w:val="32"/>
          <w:szCs w:val="32"/>
        </w:rPr>
      </w:pPr>
      <w:r>
        <w:rPr>
          <w:rFonts w:ascii="仿宋_GB2312" w:hAnsi="微软雅黑" w:eastAsia="仿宋_GB2312" w:cs="仿宋_GB2312"/>
          <w:color w:val="222222"/>
          <w:sz w:val="32"/>
          <w:szCs w:val="32"/>
        </w:rPr>
        <w:t>永和县中小企业局设置2个职能科室，分别为办公室和发展规划股。</w:t>
      </w:r>
    </w:p>
    <w:p>
      <w:pPr>
        <w:widowControl/>
        <w:shd w:val="clear" w:color="auto" w:fill="FFFFFF"/>
        <w:spacing w:line="404" w:lineRule="atLeast"/>
        <w:ind w:firstLine="602"/>
        <w:jc w:val="center"/>
        <w:rPr>
          <w:rFonts w:ascii="仿宋_GB2312" w:hAnsi="微软雅黑" w:eastAsia="仿宋_GB2312" w:cs="仿宋_GB2312"/>
          <w:b/>
          <w:color w:val="222222"/>
          <w:sz w:val="32"/>
          <w:szCs w:val="32"/>
        </w:rPr>
      </w:pPr>
      <w:r>
        <w:rPr>
          <w:rFonts w:hint="eastAsia" w:ascii="仿宋_GB2312" w:hAnsi="微软雅黑" w:eastAsia="仿宋_GB2312" w:cs="仿宋_GB2312"/>
          <w:b/>
          <w:color w:val="222222"/>
          <w:sz w:val="32"/>
          <w:szCs w:val="32"/>
        </w:rPr>
        <w:t>第二部分  201</w:t>
      </w:r>
      <w:r>
        <w:rPr>
          <w:rFonts w:hint="eastAsia" w:ascii="仿宋_GB2312" w:hAnsi="微软雅黑" w:eastAsia="仿宋_GB2312" w:cs="仿宋_GB2312"/>
          <w:b/>
          <w:color w:val="222222"/>
          <w:sz w:val="32"/>
          <w:szCs w:val="32"/>
          <w:lang w:val="en-US" w:eastAsia="zh-CN"/>
        </w:rPr>
        <w:t>8</w:t>
      </w:r>
      <w:r>
        <w:rPr>
          <w:rFonts w:hint="eastAsia" w:ascii="仿宋_GB2312" w:hAnsi="微软雅黑" w:eastAsia="仿宋_GB2312" w:cs="仿宋_GB2312"/>
          <w:b/>
          <w:color w:val="222222"/>
          <w:sz w:val="32"/>
          <w:szCs w:val="32"/>
        </w:rPr>
        <w:t>年度部门预算报表</w:t>
      </w:r>
    </w:p>
    <w:p>
      <w:pPr>
        <w:widowControl/>
        <w:shd w:val="clear" w:color="auto" w:fill="FFFFFF"/>
        <w:spacing w:line="404" w:lineRule="atLeast"/>
        <w:ind w:firstLine="600"/>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本部分内容见附表。</w:t>
      </w:r>
    </w:p>
    <w:p>
      <w:pPr>
        <w:widowControl/>
        <w:shd w:val="clear" w:color="auto" w:fill="FFFFFF"/>
        <w:spacing w:line="404" w:lineRule="atLeast"/>
        <w:ind w:firstLine="602"/>
        <w:jc w:val="center"/>
        <w:rPr>
          <w:rFonts w:ascii="仿宋_GB2312" w:hAnsi="微软雅黑" w:eastAsia="仿宋_GB2312" w:cs="仿宋_GB2312"/>
          <w:b/>
          <w:color w:val="222222"/>
          <w:sz w:val="32"/>
          <w:szCs w:val="32"/>
        </w:rPr>
      </w:pPr>
      <w:r>
        <w:rPr>
          <w:rFonts w:hint="eastAsia" w:ascii="仿宋_GB2312" w:hAnsi="微软雅黑" w:eastAsia="仿宋_GB2312" w:cs="仿宋_GB2312"/>
          <w:b/>
          <w:color w:val="222222"/>
          <w:sz w:val="32"/>
          <w:szCs w:val="32"/>
        </w:rPr>
        <w:t>第三部分  201</w:t>
      </w:r>
      <w:r>
        <w:rPr>
          <w:rFonts w:hint="eastAsia" w:ascii="仿宋_GB2312" w:hAnsi="微软雅黑" w:eastAsia="仿宋_GB2312" w:cs="仿宋_GB2312"/>
          <w:b/>
          <w:color w:val="222222"/>
          <w:sz w:val="32"/>
          <w:szCs w:val="32"/>
          <w:lang w:val="en-US" w:eastAsia="zh-CN"/>
        </w:rPr>
        <w:t>8</w:t>
      </w:r>
      <w:r>
        <w:rPr>
          <w:rFonts w:hint="eastAsia" w:ascii="仿宋_GB2312" w:hAnsi="微软雅黑" w:eastAsia="仿宋_GB2312" w:cs="仿宋_GB2312"/>
          <w:b/>
          <w:color w:val="222222"/>
          <w:sz w:val="32"/>
          <w:szCs w:val="32"/>
        </w:rPr>
        <w:t>年度部门预算情况说明</w:t>
      </w:r>
    </w:p>
    <w:p>
      <w:pPr>
        <w:widowControl/>
        <w:shd w:val="clear" w:color="auto" w:fill="FFFFFF"/>
        <w:spacing w:line="404" w:lineRule="atLeast"/>
        <w:ind w:firstLine="600"/>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1、201</w:t>
      </w:r>
      <w:r>
        <w:rPr>
          <w:rFonts w:hint="eastAsia" w:ascii="仿宋_GB2312" w:hAnsi="微软雅黑" w:eastAsia="仿宋_GB2312" w:cs="仿宋_GB2312"/>
          <w:color w:val="222222"/>
          <w:sz w:val="32"/>
          <w:szCs w:val="32"/>
          <w:lang w:val="en-US" w:eastAsia="zh-CN"/>
        </w:rPr>
        <w:t>8</w:t>
      </w:r>
      <w:r>
        <w:rPr>
          <w:rFonts w:hint="eastAsia" w:ascii="仿宋_GB2312" w:hAnsi="微软雅黑" w:eastAsia="仿宋_GB2312" w:cs="仿宋_GB2312"/>
          <w:color w:val="222222"/>
          <w:sz w:val="32"/>
          <w:szCs w:val="32"/>
        </w:rPr>
        <w:t>年度部门预算数据变动情况及原因</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中小企业局201</w:t>
      </w:r>
      <w:r>
        <w:rPr>
          <w:rFonts w:hint="eastAsia" w:ascii="仿宋_GB2312" w:hAnsi="微软雅黑" w:eastAsia="仿宋_GB2312" w:cs="仿宋_GB2312"/>
          <w:color w:val="222222"/>
          <w:sz w:val="32"/>
          <w:szCs w:val="32"/>
          <w:lang w:val="en-US" w:eastAsia="zh-CN"/>
        </w:rPr>
        <w:t>8</w:t>
      </w:r>
      <w:r>
        <w:rPr>
          <w:rFonts w:hint="eastAsia" w:ascii="仿宋_GB2312" w:hAnsi="微软雅黑" w:eastAsia="仿宋_GB2312" w:cs="仿宋_GB2312"/>
          <w:color w:val="222222"/>
          <w:sz w:val="32"/>
          <w:szCs w:val="32"/>
        </w:rPr>
        <w:t>年部门财政拨款预算</w:t>
      </w:r>
      <w:r>
        <w:rPr>
          <w:rFonts w:hint="eastAsia" w:ascii="仿宋_GB2312" w:hAnsi="微软雅黑" w:eastAsia="仿宋_GB2312" w:cs="仿宋_GB2312"/>
          <w:color w:val="222222"/>
          <w:sz w:val="32"/>
          <w:szCs w:val="32"/>
          <w:lang w:val="en-US" w:eastAsia="zh-CN"/>
        </w:rPr>
        <w:t>86.584572</w:t>
      </w:r>
      <w:r>
        <w:rPr>
          <w:rFonts w:hint="eastAsia" w:ascii="仿宋_GB2312" w:hAnsi="微软雅黑" w:eastAsia="仿宋_GB2312" w:cs="仿宋_GB2312"/>
          <w:color w:val="222222"/>
          <w:sz w:val="32"/>
          <w:szCs w:val="32"/>
        </w:rPr>
        <w:t>万元。</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2、“三公”经费增减变动原因说明</w:t>
      </w:r>
    </w:p>
    <w:p>
      <w:pPr>
        <w:ind w:firstLine="636"/>
        <w:rPr>
          <w:rFonts w:hint="eastAsia"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中小企业局201</w:t>
      </w:r>
      <w:r>
        <w:rPr>
          <w:rFonts w:hint="eastAsia" w:ascii="仿宋_GB2312" w:hAnsi="微软雅黑" w:eastAsia="仿宋_GB2312" w:cs="仿宋_GB2312"/>
          <w:color w:val="222222"/>
          <w:sz w:val="32"/>
          <w:szCs w:val="32"/>
          <w:lang w:val="en-US" w:eastAsia="zh-CN"/>
        </w:rPr>
        <w:t>8</w:t>
      </w:r>
      <w:r>
        <w:rPr>
          <w:rFonts w:hint="eastAsia" w:ascii="仿宋_GB2312" w:hAnsi="微软雅黑" w:eastAsia="仿宋_GB2312" w:cs="仿宋_GB2312"/>
          <w:color w:val="222222"/>
          <w:sz w:val="32"/>
          <w:szCs w:val="32"/>
        </w:rPr>
        <w:t>年“三公”经费财政拨款预算</w:t>
      </w:r>
      <w:r>
        <w:rPr>
          <w:rFonts w:hint="eastAsia" w:ascii="仿宋_GB2312" w:hAnsi="微软雅黑" w:eastAsia="仿宋_GB2312" w:cs="仿宋_GB2312"/>
          <w:color w:val="222222"/>
          <w:sz w:val="32"/>
          <w:szCs w:val="32"/>
          <w:lang w:val="en-US" w:eastAsia="zh-CN"/>
        </w:rPr>
        <w:t>0</w:t>
      </w:r>
      <w:r>
        <w:rPr>
          <w:rFonts w:hint="eastAsia" w:ascii="仿宋_GB2312" w:hAnsi="微软雅黑" w:eastAsia="仿宋_GB2312" w:cs="仿宋_GB2312"/>
          <w:color w:val="222222"/>
          <w:sz w:val="32"/>
          <w:szCs w:val="32"/>
        </w:rPr>
        <w:t>万元</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3、机关运行经费增减变动原因说明</w:t>
      </w:r>
    </w:p>
    <w:p>
      <w:pPr>
        <w:ind w:firstLine="636"/>
        <w:rPr>
          <w:rFonts w:hint="eastAsia" w:ascii="仿宋_GB2312" w:hAnsi="微软雅黑" w:eastAsia="仿宋_GB2312" w:cs="仿宋_GB2312"/>
          <w:color w:val="222222"/>
          <w:sz w:val="32"/>
          <w:szCs w:val="32"/>
          <w:lang w:val="en-US" w:eastAsia="zh-CN"/>
        </w:rPr>
      </w:pPr>
      <w:r>
        <w:rPr>
          <w:rFonts w:hint="eastAsia" w:ascii="仿宋_GB2312" w:hAnsi="微软雅黑" w:eastAsia="仿宋_GB2312" w:cs="仿宋_GB2312"/>
          <w:color w:val="222222"/>
          <w:sz w:val="32"/>
          <w:szCs w:val="32"/>
        </w:rPr>
        <w:t>中小企业局201</w:t>
      </w:r>
      <w:r>
        <w:rPr>
          <w:rFonts w:hint="eastAsia" w:ascii="仿宋_GB2312" w:hAnsi="微软雅黑" w:eastAsia="仿宋_GB2312" w:cs="仿宋_GB2312"/>
          <w:color w:val="222222"/>
          <w:sz w:val="32"/>
          <w:szCs w:val="32"/>
          <w:lang w:val="en-US" w:eastAsia="zh-CN"/>
        </w:rPr>
        <w:t>8</w:t>
      </w:r>
      <w:r>
        <w:rPr>
          <w:rFonts w:hint="eastAsia" w:ascii="仿宋_GB2312" w:hAnsi="微软雅黑" w:eastAsia="仿宋_GB2312" w:cs="仿宋_GB2312"/>
          <w:color w:val="222222"/>
          <w:sz w:val="32"/>
          <w:szCs w:val="32"/>
        </w:rPr>
        <w:t>年机关运行经费财政拨款预算</w:t>
      </w:r>
      <w:r>
        <w:rPr>
          <w:rFonts w:hint="eastAsia" w:ascii="仿宋_GB2312" w:hAnsi="微软雅黑" w:eastAsia="仿宋_GB2312" w:cs="仿宋_GB2312"/>
          <w:color w:val="222222"/>
          <w:sz w:val="32"/>
          <w:szCs w:val="32"/>
          <w:lang w:val="en-US" w:eastAsia="zh-CN"/>
        </w:rPr>
        <w:t>5</w:t>
      </w:r>
      <w:r>
        <w:rPr>
          <w:rFonts w:hint="eastAsia" w:ascii="仿宋_GB2312" w:hAnsi="微软雅黑" w:eastAsia="仿宋_GB2312" w:cs="仿宋_GB2312"/>
          <w:color w:val="222222"/>
          <w:sz w:val="32"/>
          <w:szCs w:val="32"/>
        </w:rPr>
        <w:t>万元，与201</w:t>
      </w:r>
      <w:r>
        <w:rPr>
          <w:rFonts w:hint="eastAsia" w:ascii="仿宋_GB2312" w:hAnsi="微软雅黑" w:eastAsia="仿宋_GB2312" w:cs="仿宋_GB2312"/>
          <w:color w:val="222222"/>
          <w:sz w:val="32"/>
          <w:szCs w:val="32"/>
          <w:lang w:val="en-US" w:eastAsia="zh-CN"/>
        </w:rPr>
        <w:t>7</w:t>
      </w:r>
      <w:r>
        <w:rPr>
          <w:rFonts w:hint="eastAsia" w:ascii="仿宋_GB2312" w:hAnsi="微软雅黑" w:eastAsia="仿宋_GB2312" w:cs="仿宋_GB2312"/>
          <w:color w:val="222222"/>
          <w:sz w:val="32"/>
          <w:szCs w:val="32"/>
        </w:rPr>
        <w:t>年</w:t>
      </w:r>
      <w:r>
        <w:rPr>
          <w:rFonts w:hint="eastAsia" w:ascii="仿宋_GB2312" w:hAnsi="微软雅黑" w:eastAsia="仿宋_GB2312" w:cs="仿宋_GB2312"/>
          <w:color w:val="222222"/>
          <w:sz w:val="32"/>
          <w:szCs w:val="32"/>
          <w:lang w:val="en-US" w:eastAsia="zh-CN"/>
        </w:rPr>
        <w:t>4.7万有所增加，因为机关人员增加</w:t>
      </w:r>
    </w:p>
    <w:p>
      <w:pPr>
        <w:ind w:firstLine="636"/>
        <w:rPr>
          <w:rFonts w:hint="eastAsia" w:ascii="仿宋_GB2312" w:hAnsi="微软雅黑" w:eastAsia="仿宋_GB2312" w:cs="仿宋_GB2312"/>
          <w:color w:val="222222"/>
          <w:sz w:val="32"/>
          <w:szCs w:val="32"/>
          <w:lang w:val="en-US" w:eastAsia="zh-CN"/>
        </w:rPr>
      </w:pPr>
      <w:r>
        <w:rPr>
          <w:rFonts w:hint="eastAsia" w:ascii="仿宋_GB2312" w:hAnsi="微软雅黑" w:eastAsia="仿宋_GB2312" w:cs="仿宋_GB2312"/>
          <w:color w:val="222222"/>
          <w:sz w:val="32"/>
          <w:szCs w:val="32"/>
          <w:lang w:val="en-US" w:eastAsia="zh-CN"/>
        </w:rPr>
        <w:t>4、其他说明</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（1）政府采购情况</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201</w:t>
      </w:r>
      <w:r>
        <w:rPr>
          <w:rFonts w:hint="eastAsia" w:ascii="仿宋_GB2312" w:hAnsi="微软雅黑" w:eastAsia="仿宋_GB2312" w:cs="仿宋_GB2312"/>
          <w:color w:val="222222"/>
          <w:sz w:val="32"/>
          <w:szCs w:val="32"/>
          <w:lang w:val="en-US" w:eastAsia="zh-CN"/>
        </w:rPr>
        <w:t>8</w:t>
      </w:r>
      <w:r>
        <w:rPr>
          <w:rFonts w:hint="eastAsia" w:ascii="仿宋_GB2312" w:hAnsi="微软雅黑" w:eastAsia="仿宋_GB2312" w:cs="仿宋_GB2312"/>
          <w:color w:val="222222"/>
          <w:sz w:val="32"/>
          <w:szCs w:val="32"/>
        </w:rPr>
        <w:t>年无政府采购</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（2）政府购买服务指导性目录</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（3）国有资产占有使用情况</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1.车辆情况：无车辆</w:t>
      </w:r>
    </w:p>
    <w:p>
      <w:pPr>
        <w:ind w:firstLine="636"/>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2.房屋情况：无</w:t>
      </w:r>
    </w:p>
    <w:p>
      <w:pPr>
        <w:ind w:firstLine="636"/>
        <w:rPr>
          <w:rFonts w:hint="eastAsia"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3.其他国有资产占有使用情况：无</w:t>
      </w:r>
      <w:bookmarkStart w:id="0" w:name="_GoBack"/>
      <w:bookmarkEnd w:id="0"/>
    </w:p>
    <w:p>
      <w:pPr>
        <w:ind w:firstLine="636"/>
        <w:rPr>
          <w:rFonts w:hint="eastAsia" w:ascii="仿宋_GB2312" w:hAnsi="微软雅黑" w:eastAsia="仿宋_GB2312" w:cs="仿宋_GB2312"/>
          <w:color w:val="222222"/>
          <w:sz w:val="32"/>
          <w:szCs w:val="32"/>
          <w:lang w:val="en-US" w:eastAsia="zh-CN"/>
        </w:rPr>
      </w:pPr>
      <w:r>
        <w:rPr>
          <w:rFonts w:hint="eastAsia" w:ascii="仿宋_GB2312" w:hAnsi="微软雅黑" w:eastAsia="仿宋_GB2312" w:cs="仿宋_GB2312"/>
          <w:color w:val="222222"/>
          <w:sz w:val="32"/>
          <w:szCs w:val="32"/>
        </w:rPr>
        <w:t>（</w:t>
      </w:r>
      <w:r>
        <w:rPr>
          <w:rFonts w:hint="eastAsia" w:ascii="仿宋_GB2312" w:hAnsi="微软雅黑" w:eastAsia="仿宋_GB2312" w:cs="仿宋_GB2312"/>
          <w:color w:val="222222"/>
          <w:sz w:val="32"/>
          <w:szCs w:val="32"/>
          <w:lang w:val="en-US" w:eastAsia="zh-CN"/>
        </w:rPr>
        <w:t>4</w:t>
      </w:r>
      <w:r>
        <w:rPr>
          <w:rFonts w:hint="eastAsia" w:ascii="仿宋_GB2312" w:hAnsi="微软雅黑" w:eastAsia="仿宋_GB2312" w:cs="仿宋_GB2312"/>
          <w:color w:val="222222"/>
          <w:sz w:val="32"/>
          <w:szCs w:val="32"/>
        </w:rPr>
        <w:t>）</w:t>
      </w:r>
      <w:r>
        <w:rPr>
          <w:rFonts w:hint="eastAsia" w:ascii="仿宋_GB2312" w:hAnsi="微软雅黑" w:eastAsia="仿宋_GB2312" w:cs="仿宋_GB2312"/>
          <w:color w:val="222222"/>
          <w:sz w:val="32"/>
          <w:szCs w:val="32"/>
          <w:lang w:val="en-US" w:eastAsia="zh-CN"/>
        </w:rPr>
        <w:t>绩效管理情况：无</w:t>
      </w:r>
    </w:p>
    <w:p>
      <w:pPr>
        <w:widowControl/>
        <w:shd w:val="clear" w:color="auto" w:fill="FFFFFF"/>
        <w:spacing w:line="404" w:lineRule="atLeast"/>
        <w:jc w:val="center"/>
        <w:rPr>
          <w:rFonts w:ascii="仿宋_GB2312" w:hAnsi="微软雅黑" w:eastAsia="仿宋_GB2312" w:cs="仿宋_GB2312"/>
          <w:b/>
          <w:color w:val="222222"/>
          <w:sz w:val="32"/>
          <w:szCs w:val="32"/>
        </w:rPr>
      </w:pPr>
      <w:r>
        <w:rPr>
          <w:rFonts w:hint="eastAsia" w:ascii="仿宋_GB2312" w:hAnsi="微软雅黑" w:eastAsia="仿宋_GB2312" w:cs="仿宋_GB2312"/>
          <w:b/>
          <w:color w:val="222222"/>
          <w:sz w:val="32"/>
          <w:szCs w:val="32"/>
        </w:rPr>
        <w:t>第四部分   名词解释</w:t>
      </w:r>
    </w:p>
    <w:p>
      <w:pPr>
        <w:autoSpaceDE w:val="0"/>
        <w:autoSpaceDN w:val="0"/>
        <w:adjustRightInd w:val="0"/>
        <w:ind w:firstLine="640" w:firstLineChars="200"/>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（1）基本支出：指为保障机构正常运转、完成日常</w:t>
      </w:r>
    </w:p>
    <w:p>
      <w:pPr>
        <w:autoSpaceDE w:val="0"/>
        <w:autoSpaceDN w:val="0"/>
        <w:adjustRightInd w:val="0"/>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工作任务而发生的人员支出和公用支出。</w:t>
      </w:r>
    </w:p>
    <w:p>
      <w:pPr>
        <w:autoSpaceDE w:val="0"/>
        <w:autoSpaceDN w:val="0"/>
        <w:adjustRightInd w:val="0"/>
        <w:ind w:firstLine="640" w:firstLineChars="200"/>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（2）项目支出：指在基本支出之外为完成特定行政任务和事业发展目标所发生的支出。</w:t>
      </w:r>
    </w:p>
    <w:p>
      <w:pPr>
        <w:autoSpaceDE w:val="0"/>
        <w:autoSpaceDN w:val="0"/>
        <w:adjustRightInd w:val="0"/>
        <w:ind w:firstLine="640" w:firstLineChars="200"/>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仿宋_GB2312" w:hAnsi="微软雅黑" w:eastAsia="仿宋_GB2312" w:cs="仿宋_GB2312"/>
          <w:color w:val="222222"/>
          <w:sz w:val="32"/>
          <w:szCs w:val="32"/>
        </w:rPr>
      </w:pPr>
      <w:r>
        <w:rPr>
          <w:rFonts w:hint="eastAsia" w:ascii="仿宋_GB2312" w:hAnsi="微软雅黑" w:eastAsia="仿宋_GB2312" w:cs="仿宋_GB2312"/>
          <w:color w:val="222222"/>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030D"/>
    <w:multiLevelType w:val="singleLevel"/>
    <w:tmpl w:val="58DB030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4121EF"/>
    <w:rsid w:val="00546EDA"/>
    <w:rsid w:val="005A4A16"/>
    <w:rsid w:val="006762C7"/>
    <w:rsid w:val="007937DA"/>
    <w:rsid w:val="00A87CDC"/>
    <w:rsid w:val="00B4734C"/>
    <w:rsid w:val="00C747E3"/>
    <w:rsid w:val="00EA2835"/>
    <w:rsid w:val="00FC5F55"/>
    <w:rsid w:val="01B57A4E"/>
    <w:rsid w:val="10A64A5A"/>
    <w:rsid w:val="15DE3B14"/>
    <w:rsid w:val="26AB7F0A"/>
    <w:rsid w:val="3584370E"/>
    <w:rsid w:val="42EE3A72"/>
    <w:rsid w:val="506C04A1"/>
    <w:rsid w:val="53015363"/>
    <w:rsid w:val="58247690"/>
    <w:rsid w:val="5A512937"/>
    <w:rsid w:val="61B87338"/>
    <w:rsid w:val="6D385DFE"/>
    <w:rsid w:val="752419C0"/>
    <w:rsid w:val="790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character" w:styleId="3">
    <w:name w:val="FollowedHyperlink"/>
    <w:basedOn w:val="2"/>
    <w:unhideWhenUsed/>
    <w:qFormat/>
    <w:uiPriority w:val="99"/>
    <w:rPr>
      <w:color w:val="222222"/>
      <w:u w:val="none"/>
    </w:rPr>
  </w:style>
  <w:style w:type="character" w:styleId="4">
    <w:name w:val="Hyperlink"/>
    <w:basedOn w:val="2"/>
    <w:unhideWhenUsed/>
    <w:qFormat/>
    <w:uiPriority w:val="99"/>
    <w:rPr>
      <w:color w:val="222222"/>
      <w:u w:val="none"/>
    </w:rPr>
  </w:style>
  <w:style w:type="character" w:customStyle="1" w:styleId="6">
    <w:name w:val="apple-converted-space"/>
    <w:basedOn w:val="2"/>
    <w:qFormat/>
    <w:uiPriority w:val="0"/>
  </w:style>
  <w:style w:type="paragraph" w:customStyle="1" w:styleId="7">
    <w:name w:val="列出段落1"/>
    <w:basedOn w:val="1"/>
    <w:qFormat/>
    <w:uiPriority w:val="34"/>
    <w:pPr>
      <w:ind w:firstLine="420" w:firstLineChars="200"/>
    </w:pPr>
  </w:style>
  <w:style w:type="character" w:customStyle="1" w:styleId="8">
    <w:name w:val="v"/>
    <w:basedOn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145</Words>
  <Characters>831</Characters>
  <Lines>6</Lines>
  <Paragraphs>1</Paragraphs>
  <TotalTime>1</TotalTime>
  <ScaleCrop>false</ScaleCrop>
  <LinksUpToDate>false</LinksUpToDate>
  <CharactersWithSpaces>975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2018-05-08T09:29:46Z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