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bidi w:val="0"/>
        <w:snapToGrid/>
        <w:spacing w:line="404" w:lineRule="atLeast"/>
        <w:ind w:right="0" w:rightChars="0"/>
        <w:jc w:val="center"/>
        <w:textAlignment w:val="auto"/>
        <w:outlineLvl w:val="9"/>
        <w:rPr>
          <w:rFonts w:hint="eastAsia" w:ascii="宋体" w:hAnsi="宋体" w:eastAsia="宋体" w:cs="宋体"/>
          <w:b/>
          <w:bCs/>
          <w:color w:val="222222"/>
          <w:spacing w:val="10"/>
          <w:kern w:val="0"/>
          <w:sz w:val="44"/>
          <w:szCs w:val="44"/>
          <w:lang w:eastAsia="zh-CN"/>
        </w:rPr>
      </w:pPr>
      <w:r>
        <w:rPr>
          <w:rFonts w:hint="eastAsia" w:ascii="宋体" w:hAnsi="宋体" w:eastAsia="宋体" w:cs="宋体"/>
          <w:b/>
          <w:bCs/>
          <w:color w:val="222222"/>
          <w:spacing w:val="10"/>
          <w:kern w:val="0"/>
          <w:sz w:val="44"/>
          <w:szCs w:val="44"/>
        </w:rPr>
        <w:t>永和</w:t>
      </w:r>
      <w:r>
        <w:rPr>
          <w:rFonts w:hint="eastAsia" w:ascii="宋体" w:hAnsi="宋体" w:eastAsia="宋体" w:cs="宋体"/>
          <w:b/>
          <w:bCs/>
          <w:color w:val="222222"/>
          <w:spacing w:val="10"/>
          <w:kern w:val="0"/>
          <w:sz w:val="44"/>
          <w:szCs w:val="44"/>
          <w:lang w:eastAsia="zh-CN"/>
        </w:rPr>
        <w:t>县委宣传部及新闻网络中心</w:t>
      </w:r>
    </w:p>
    <w:p>
      <w:pPr>
        <w:keepNext w:val="0"/>
        <w:keepLines w:val="0"/>
        <w:pageBreakBefore w:val="0"/>
        <w:widowControl/>
        <w:shd w:val="clear" w:color="auto" w:fill="FFFFFF"/>
        <w:kinsoku/>
        <w:wordWrap/>
        <w:overflowPunct/>
        <w:topLinePunct w:val="0"/>
        <w:bidi w:val="0"/>
        <w:snapToGrid/>
        <w:spacing w:line="404" w:lineRule="atLeast"/>
        <w:ind w:right="0" w:rightChars="0"/>
        <w:jc w:val="center"/>
        <w:textAlignment w:val="auto"/>
        <w:outlineLvl w:val="9"/>
        <w:rPr>
          <w:rFonts w:hint="eastAsia" w:ascii="宋体" w:hAnsi="宋体" w:eastAsia="宋体" w:cs="宋体"/>
          <w:b/>
          <w:bCs/>
          <w:color w:val="222222"/>
          <w:kern w:val="0"/>
          <w:sz w:val="44"/>
          <w:szCs w:val="44"/>
        </w:rPr>
      </w:pPr>
      <w:r>
        <w:rPr>
          <w:rFonts w:hint="eastAsia" w:ascii="宋体" w:hAnsi="宋体" w:eastAsia="宋体" w:cs="宋体"/>
          <w:b/>
          <w:bCs/>
          <w:color w:val="222222"/>
          <w:kern w:val="0"/>
          <w:sz w:val="44"/>
          <w:szCs w:val="44"/>
        </w:rPr>
        <w:t>201</w:t>
      </w:r>
      <w:r>
        <w:rPr>
          <w:rFonts w:hint="eastAsia" w:ascii="宋体" w:hAnsi="宋体" w:eastAsia="宋体" w:cs="宋体"/>
          <w:b/>
          <w:bCs/>
          <w:color w:val="222222"/>
          <w:kern w:val="0"/>
          <w:sz w:val="44"/>
          <w:szCs w:val="44"/>
          <w:lang w:val="en-US" w:eastAsia="zh-CN"/>
        </w:rPr>
        <w:t>8</w:t>
      </w:r>
      <w:r>
        <w:rPr>
          <w:rFonts w:hint="eastAsia" w:ascii="宋体" w:hAnsi="宋体" w:eastAsia="宋体" w:cs="宋体"/>
          <w:b/>
          <w:bCs/>
          <w:color w:val="222222"/>
          <w:spacing w:val="10"/>
          <w:kern w:val="0"/>
          <w:sz w:val="44"/>
          <w:szCs w:val="44"/>
        </w:rPr>
        <w:t>年度部门预算算情况说明</w:t>
      </w:r>
    </w:p>
    <w:p>
      <w:pPr>
        <w:keepNext w:val="0"/>
        <w:keepLines w:val="0"/>
        <w:pageBreakBefore w:val="0"/>
        <w:widowControl/>
        <w:shd w:val="clear" w:color="auto" w:fill="FFFFFF"/>
        <w:kinsoku/>
        <w:wordWrap/>
        <w:overflowPunct/>
        <w:topLinePunct w:val="0"/>
        <w:bidi w:val="0"/>
        <w:snapToGrid/>
        <w:spacing w:line="404" w:lineRule="atLeast"/>
        <w:ind w:left="0" w:leftChars="0" w:right="0" w:rightChars="0" w:firstLine="640" w:firstLineChars="200"/>
        <w:jc w:val="both"/>
        <w:textAlignment w:val="auto"/>
        <w:outlineLvl w:val="9"/>
        <w:rPr>
          <w:rFonts w:hint="eastAsia" w:ascii="仿宋_GB2312" w:hAnsi="仿宋_GB2312" w:eastAsia="仿宋_GB2312" w:cs="仿宋_GB2312"/>
          <w:b w:val="0"/>
          <w:bCs w:val="0"/>
          <w:color w:val="222222"/>
          <w:kern w:val="0"/>
          <w:sz w:val="32"/>
          <w:szCs w:val="32"/>
        </w:rPr>
      </w:pPr>
    </w:p>
    <w:p>
      <w:pPr>
        <w:keepNext w:val="0"/>
        <w:keepLines w:val="0"/>
        <w:pageBreakBefore w:val="0"/>
        <w:widowControl/>
        <w:shd w:val="clear" w:color="auto" w:fill="FFFFFF"/>
        <w:kinsoku/>
        <w:wordWrap/>
        <w:overflowPunct/>
        <w:topLinePunct w:val="0"/>
        <w:bidi w:val="0"/>
        <w:snapToGrid/>
        <w:spacing w:line="404" w:lineRule="atLeast"/>
        <w:ind w:right="0" w:rightChars="0"/>
        <w:jc w:val="center"/>
        <w:textAlignment w:val="auto"/>
        <w:outlineLvl w:val="9"/>
        <w:rPr>
          <w:rFonts w:hint="eastAsia" w:ascii="黑体" w:hAnsi="黑体" w:eastAsia="黑体" w:cs="黑体"/>
          <w:b w:val="0"/>
          <w:bCs w:val="0"/>
          <w:color w:val="222222"/>
          <w:kern w:val="0"/>
          <w:sz w:val="32"/>
          <w:szCs w:val="32"/>
        </w:rPr>
      </w:pPr>
      <w:r>
        <w:rPr>
          <w:rFonts w:hint="eastAsia" w:ascii="黑体" w:hAnsi="黑体" w:eastAsia="黑体" w:cs="黑体"/>
          <w:b w:val="0"/>
          <w:bCs w:val="0"/>
          <w:color w:val="222222"/>
          <w:kern w:val="0"/>
          <w:sz w:val="32"/>
          <w:szCs w:val="32"/>
        </w:rPr>
        <w:t>第一部分  概况</w:t>
      </w:r>
    </w:p>
    <w:p>
      <w:pPr>
        <w:keepNext w:val="0"/>
        <w:keepLines w:val="0"/>
        <w:pageBreakBefore w:val="0"/>
        <w:widowControl/>
        <w:numPr>
          <w:ilvl w:val="0"/>
          <w:numId w:val="0"/>
        </w:numPr>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黑体" w:hAnsi="黑体" w:eastAsia="黑体" w:cs="黑体"/>
          <w:b w:val="0"/>
          <w:bCs w:val="0"/>
          <w:color w:val="222222"/>
          <w:spacing w:val="10"/>
          <w:kern w:val="0"/>
          <w:sz w:val="32"/>
          <w:szCs w:val="32"/>
        </w:rPr>
      </w:pPr>
      <w:r>
        <w:rPr>
          <w:rFonts w:hint="eastAsia" w:ascii="黑体" w:hAnsi="黑体" w:eastAsia="黑体" w:cs="黑体"/>
          <w:b w:val="0"/>
          <w:bCs w:val="0"/>
          <w:color w:val="222222"/>
          <w:spacing w:val="10"/>
          <w:kern w:val="0"/>
          <w:sz w:val="32"/>
          <w:szCs w:val="32"/>
          <w:lang w:val="en-US" w:eastAsia="zh-CN"/>
        </w:rPr>
        <w:t>1、</w:t>
      </w:r>
      <w:r>
        <w:rPr>
          <w:rFonts w:hint="eastAsia" w:ascii="黑体" w:hAnsi="黑体" w:eastAsia="黑体" w:cs="黑体"/>
          <w:b w:val="0"/>
          <w:bCs w:val="0"/>
          <w:color w:val="222222"/>
          <w:spacing w:val="10"/>
          <w:kern w:val="0"/>
          <w:sz w:val="32"/>
          <w:szCs w:val="32"/>
        </w:rPr>
        <w:t>主要职能职责：</w:t>
      </w:r>
    </w:p>
    <w:p>
      <w:pPr>
        <w:keepNext w:val="0"/>
        <w:keepLines w:val="0"/>
        <w:pageBreakBefore w:val="0"/>
        <w:widowControl/>
        <w:numPr>
          <w:ilvl w:val="0"/>
          <w:numId w:val="0"/>
        </w:numPr>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w:t>
      </w:r>
      <w:r>
        <w:rPr>
          <w:rFonts w:hint="eastAsia" w:ascii="仿宋_GB2312" w:hAnsi="仿宋_GB2312" w:eastAsia="仿宋_GB2312" w:cs="仿宋_GB2312"/>
          <w:b w:val="0"/>
          <w:bCs w:val="0"/>
          <w:color w:val="222222"/>
          <w:spacing w:val="10"/>
          <w:kern w:val="0"/>
          <w:sz w:val="32"/>
          <w:szCs w:val="32"/>
          <w:lang w:val="en-US" w:eastAsia="zh-CN"/>
        </w:rPr>
        <w:t>一）</w:t>
      </w:r>
      <w:r>
        <w:rPr>
          <w:rFonts w:hint="eastAsia" w:ascii="仿宋_GB2312" w:hAnsi="仿宋_GB2312" w:eastAsia="仿宋_GB2312" w:cs="仿宋_GB2312"/>
          <w:b w:val="0"/>
          <w:bCs w:val="0"/>
          <w:color w:val="222222"/>
          <w:spacing w:val="10"/>
          <w:kern w:val="0"/>
          <w:sz w:val="32"/>
          <w:szCs w:val="32"/>
        </w:rPr>
        <w:t>贯彻执行中央</w:t>
      </w:r>
      <w:r>
        <w:rPr>
          <w:rFonts w:hint="eastAsia" w:ascii="仿宋_GB2312" w:hAnsi="仿宋_GB2312" w:eastAsia="仿宋_GB2312" w:cs="仿宋_GB2312"/>
          <w:b w:val="0"/>
          <w:bCs w:val="0"/>
          <w:color w:val="222222"/>
          <w:spacing w:val="10"/>
          <w:kern w:val="0"/>
          <w:sz w:val="32"/>
          <w:szCs w:val="32"/>
          <w:lang w:eastAsia="zh-CN"/>
        </w:rPr>
        <w:t>、省、市</w:t>
      </w:r>
      <w:r>
        <w:rPr>
          <w:rFonts w:hint="eastAsia" w:ascii="仿宋_GB2312" w:hAnsi="仿宋_GB2312" w:eastAsia="仿宋_GB2312" w:cs="仿宋_GB2312"/>
          <w:b w:val="0"/>
          <w:bCs w:val="0"/>
          <w:color w:val="222222"/>
          <w:spacing w:val="10"/>
          <w:kern w:val="0"/>
          <w:sz w:val="32"/>
          <w:szCs w:val="32"/>
        </w:rPr>
        <w:t>、县委有关意识形态方面的方针政策，制订全县宣传文化、精神文明建设工作的总体规划并组织实施。</w:t>
      </w:r>
    </w:p>
    <w:p>
      <w:pPr>
        <w:keepNext w:val="0"/>
        <w:keepLines w:val="0"/>
        <w:pageBreakBefore w:val="0"/>
        <w:widowControl/>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w:t>
      </w:r>
      <w:r>
        <w:rPr>
          <w:rFonts w:hint="eastAsia" w:ascii="仿宋_GB2312" w:hAnsi="仿宋_GB2312" w:eastAsia="仿宋_GB2312" w:cs="仿宋_GB2312"/>
          <w:b w:val="0"/>
          <w:bCs w:val="0"/>
          <w:color w:val="222222"/>
          <w:spacing w:val="10"/>
          <w:kern w:val="0"/>
          <w:sz w:val="32"/>
          <w:szCs w:val="32"/>
          <w:lang w:val="en-US" w:eastAsia="zh-CN"/>
        </w:rPr>
        <w:t>二）</w:t>
      </w:r>
      <w:r>
        <w:rPr>
          <w:rFonts w:hint="eastAsia" w:ascii="仿宋_GB2312" w:hAnsi="仿宋_GB2312" w:eastAsia="仿宋_GB2312" w:cs="仿宋_GB2312"/>
          <w:b w:val="0"/>
          <w:bCs w:val="0"/>
          <w:color w:val="222222"/>
          <w:spacing w:val="10"/>
          <w:kern w:val="0"/>
          <w:sz w:val="32"/>
          <w:szCs w:val="32"/>
        </w:rPr>
        <w:t>负责组织党的中心任务和路线、方针、政策的宣传；负责指导，组织和协调对全县经济社会发展战略、重大经济政策、重大经济活动的宣传；代管县文学艺术界联合会，并在政治方向和方针政策方面实施领导；会同有关部门负责对群众进行思想教育工作。</w:t>
      </w:r>
    </w:p>
    <w:p>
      <w:pPr>
        <w:keepNext w:val="0"/>
        <w:keepLines w:val="0"/>
        <w:pageBreakBefore w:val="0"/>
        <w:widowControl/>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w:t>
      </w:r>
      <w:r>
        <w:rPr>
          <w:rFonts w:hint="eastAsia" w:ascii="仿宋_GB2312" w:hAnsi="仿宋_GB2312" w:eastAsia="仿宋_GB2312" w:cs="仿宋_GB2312"/>
          <w:b w:val="0"/>
          <w:bCs w:val="0"/>
          <w:color w:val="222222"/>
          <w:spacing w:val="10"/>
          <w:kern w:val="0"/>
          <w:sz w:val="32"/>
          <w:szCs w:val="32"/>
          <w:lang w:val="en-US" w:eastAsia="zh-CN"/>
        </w:rPr>
        <w:t>三）</w:t>
      </w:r>
      <w:r>
        <w:rPr>
          <w:rFonts w:hint="eastAsia" w:ascii="仿宋_GB2312" w:hAnsi="仿宋_GB2312" w:eastAsia="仿宋_GB2312" w:cs="仿宋_GB2312"/>
          <w:b w:val="0"/>
          <w:bCs w:val="0"/>
          <w:color w:val="222222"/>
          <w:spacing w:val="10"/>
          <w:kern w:val="0"/>
          <w:sz w:val="32"/>
          <w:szCs w:val="32"/>
        </w:rPr>
        <w:t>负责组织、指导全县各级党组织理论教育、学习、宣传、研究工作；会同有关部门做好党员、干部的教育工作。</w:t>
      </w:r>
    </w:p>
    <w:p>
      <w:pPr>
        <w:keepNext w:val="0"/>
        <w:keepLines w:val="0"/>
        <w:pageBreakBefore w:val="0"/>
        <w:widowControl/>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w:t>
      </w:r>
      <w:r>
        <w:rPr>
          <w:rFonts w:hint="eastAsia" w:ascii="仿宋_GB2312" w:hAnsi="仿宋_GB2312" w:eastAsia="仿宋_GB2312" w:cs="仿宋_GB2312"/>
          <w:b w:val="0"/>
          <w:bCs w:val="0"/>
          <w:color w:val="222222"/>
          <w:spacing w:val="10"/>
          <w:kern w:val="0"/>
          <w:sz w:val="32"/>
          <w:szCs w:val="32"/>
          <w:lang w:val="en-US" w:eastAsia="zh-CN"/>
        </w:rPr>
        <w:t>四）</w:t>
      </w:r>
      <w:r>
        <w:rPr>
          <w:rFonts w:hint="eastAsia" w:ascii="仿宋_GB2312" w:hAnsi="仿宋_GB2312" w:eastAsia="仿宋_GB2312" w:cs="仿宋_GB2312"/>
          <w:b w:val="0"/>
          <w:bCs w:val="0"/>
          <w:color w:val="222222"/>
          <w:spacing w:val="10"/>
          <w:kern w:val="0"/>
          <w:sz w:val="32"/>
          <w:szCs w:val="32"/>
        </w:rPr>
        <w:t>负责舆-论导向，规划和宏观指导精神产品的生产和文化艺术工作，保证党的文艺方针政策的贯彻执行；代管县文学艺术界联合会；把握正确舆-论导向，做好县内新闻媒体、县外媒体的联系、协调，掌握研判舆情信息，为县域经济发展提供积极舆-论支持。</w:t>
      </w:r>
    </w:p>
    <w:p>
      <w:pPr>
        <w:keepNext w:val="0"/>
        <w:keepLines w:val="0"/>
        <w:pageBreakBefore w:val="0"/>
        <w:widowControl/>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w:t>
      </w:r>
      <w:r>
        <w:rPr>
          <w:rFonts w:hint="eastAsia" w:ascii="仿宋_GB2312" w:hAnsi="仿宋_GB2312" w:eastAsia="仿宋_GB2312" w:cs="仿宋_GB2312"/>
          <w:b w:val="0"/>
          <w:bCs w:val="0"/>
          <w:color w:val="222222"/>
          <w:spacing w:val="10"/>
          <w:kern w:val="0"/>
          <w:sz w:val="32"/>
          <w:szCs w:val="32"/>
          <w:lang w:val="en-US" w:eastAsia="zh-CN"/>
        </w:rPr>
        <w:t>五）</w:t>
      </w:r>
      <w:r>
        <w:rPr>
          <w:rFonts w:hint="eastAsia" w:ascii="仿宋_GB2312" w:hAnsi="仿宋_GB2312" w:eastAsia="仿宋_GB2312" w:cs="仿宋_GB2312"/>
          <w:b w:val="0"/>
          <w:bCs w:val="0"/>
          <w:color w:val="222222"/>
          <w:spacing w:val="10"/>
          <w:kern w:val="0"/>
          <w:sz w:val="32"/>
          <w:szCs w:val="32"/>
        </w:rPr>
        <w:t>负责全县精神文明建设工作的规划和组织实施；负责组织、协调、指导和监督全县各类群众性精神文明创建活动；承担全县精神文明建设指导委员会办公室的日常工作。</w:t>
      </w:r>
    </w:p>
    <w:p>
      <w:pPr>
        <w:keepNext w:val="0"/>
        <w:keepLines w:val="0"/>
        <w:pageBreakBefore w:val="0"/>
        <w:widowControl/>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w:t>
      </w:r>
      <w:r>
        <w:rPr>
          <w:rFonts w:hint="eastAsia" w:ascii="仿宋_GB2312" w:hAnsi="仿宋_GB2312" w:eastAsia="仿宋_GB2312" w:cs="仿宋_GB2312"/>
          <w:b w:val="0"/>
          <w:bCs w:val="0"/>
          <w:color w:val="222222"/>
          <w:spacing w:val="10"/>
          <w:kern w:val="0"/>
          <w:sz w:val="32"/>
          <w:szCs w:val="32"/>
          <w:lang w:val="en-US" w:eastAsia="zh-CN"/>
        </w:rPr>
        <w:t>六）</w:t>
      </w:r>
      <w:r>
        <w:rPr>
          <w:rFonts w:hint="eastAsia" w:ascii="仿宋_GB2312" w:hAnsi="仿宋_GB2312" w:eastAsia="仿宋_GB2312" w:cs="仿宋_GB2312"/>
          <w:b w:val="0"/>
          <w:bCs w:val="0"/>
          <w:color w:val="222222"/>
          <w:spacing w:val="10"/>
          <w:kern w:val="0"/>
          <w:sz w:val="32"/>
          <w:szCs w:val="32"/>
        </w:rPr>
        <w:t>指导和协调、组织对外宣传工作；并协调有关部门做好外来记者到我县采访报道的管理工作；做好全县宣传制品的审批工作；检查督促全县对外宣传纪律的执行；策划组织大型外宣活动。</w:t>
      </w:r>
    </w:p>
    <w:p>
      <w:pPr>
        <w:keepNext w:val="0"/>
        <w:keepLines w:val="0"/>
        <w:pageBreakBefore w:val="0"/>
        <w:widowControl/>
        <w:shd w:val="clear" w:color="auto" w:fill="FFFFFF"/>
        <w:kinsoku/>
        <w:wordWrap/>
        <w:overflowPunct/>
        <w:topLinePunct w:val="0"/>
        <w:bidi w:val="0"/>
        <w:snapToGrid/>
        <w:spacing w:line="404" w:lineRule="atLeast"/>
        <w:ind w:right="0" w:rightChars="0" w:firstLine="640" w:firstLineChars="200"/>
        <w:textAlignment w:val="auto"/>
        <w:outlineLvl w:val="9"/>
        <w:rPr>
          <w:rFonts w:hint="eastAsia" w:ascii="黑体" w:hAnsi="黑体" w:eastAsia="黑体" w:cs="黑体"/>
          <w:b w:val="0"/>
          <w:bCs w:val="0"/>
          <w:color w:val="222222"/>
          <w:spacing w:val="10"/>
          <w:kern w:val="0"/>
          <w:sz w:val="32"/>
          <w:szCs w:val="32"/>
        </w:rPr>
      </w:pPr>
      <w:r>
        <w:rPr>
          <w:rFonts w:hint="eastAsia" w:ascii="黑体" w:hAnsi="黑体" w:eastAsia="黑体" w:cs="黑体"/>
          <w:b w:val="0"/>
          <w:bCs w:val="0"/>
          <w:color w:val="222222"/>
          <w:kern w:val="0"/>
          <w:sz w:val="32"/>
          <w:szCs w:val="32"/>
        </w:rPr>
        <w:t>2、</w:t>
      </w:r>
      <w:r>
        <w:rPr>
          <w:rFonts w:hint="eastAsia" w:ascii="黑体" w:hAnsi="黑体" w:eastAsia="黑体" w:cs="黑体"/>
          <w:b w:val="0"/>
          <w:bCs w:val="0"/>
          <w:color w:val="222222"/>
          <w:spacing w:val="10"/>
          <w:kern w:val="0"/>
          <w:sz w:val="32"/>
          <w:szCs w:val="32"/>
        </w:rPr>
        <w:t>部门预算单位构成：</w:t>
      </w:r>
    </w:p>
    <w:p>
      <w:pPr>
        <w:keepNext w:val="0"/>
        <w:keepLines w:val="0"/>
        <w:pageBreakBefore w:val="0"/>
        <w:widowControl/>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lang w:eastAsia="zh-CN"/>
        </w:rPr>
      </w:pPr>
      <w:r>
        <w:rPr>
          <w:rFonts w:hint="eastAsia" w:ascii="仿宋_GB2312" w:hAnsi="仿宋_GB2312" w:eastAsia="仿宋_GB2312" w:cs="仿宋_GB2312"/>
          <w:b w:val="0"/>
          <w:bCs w:val="0"/>
          <w:color w:val="222222"/>
          <w:spacing w:val="10"/>
          <w:kern w:val="0"/>
          <w:sz w:val="32"/>
          <w:szCs w:val="32"/>
          <w:lang w:eastAsia="zh-CN"/>
        </w:rPr>
        <w:t>永和县委宣传部属于行政单位，共有编制</w:t>
      </w:r>
      <w:r>
        <w:rPr>
          <w:rFonts w:hint="eastAsia" w:ascii="仿宋_GB2312" w:hAnsi="仿宋_GB2312" w:eastAsia="仿宋_GB2312" w:cs="仿宋_GB2312"/>
          <w:b w:val="0"/>
          <w:bCs w:val="0"/>
          <w:color w:val="222222"/>
          <w:spacing w:val="10"/>
          <w:kern w:val="0"/>
          <w:sz w:val="32"/>
          <w:szCs w:val="32"/>
          <w:lang w:val="en-US" w:eastAsia="zh-CN"/>
        </w:rPr>
        <w:t>8名，实际</w:t>
      </w:r>
      <w:r>
        <w:rPr>
          <w:rFonts w:hint="eastAsia" w:ascii="仿宋_GB2312" w:hAnsi="仿宋_GB2312" w:eastAsia="仿宋_GB2312" w:cs="仿宋_GB2312"/>
          <w:b w:val="0"/>
          <w:bCs w:val="0"/>
          <w:color w:val="222222"/>
          <w:spacing w:val="10"/>
          <w:kern w:val="0"/>
          <w:sz w:val="32"/>
          <w:szCs w:val="32"/>
          <w:lang w:eastAsia="zh-CN"/>
        </w:rPr>
        <w:t>占编人员</w:t>
      </w:r>
      <w:r>
        <w:rPr>
          <w:rFonts w:hint="eastAsia" w:ascii="仿宋_GB2312" w:hAnsi="仿宋_GB2312" w:eastAsia="仿宋_GB2312" w:cs="仿宋_GB2312"/>
          <w:b w:val="0"/>
          <w:bCs w:val="0"/>
          <w:color w:val="222222"/>
          <w:spacing w:val="10"/>
          <w:kern w:val="0"/>
          <w:sz w:val="32"/>
          <w:szCs w:val="32"/>
          <w:lang w:val="en-US" w:eastAsia="zh-CN"/>
        </w:rPr>
        <w:t>6名，正科三名，副科一名，科员2名；新闻网络中心属于行政事业单位，共有编制6人，实际占编人数6人，副科3人，科员3人。</w:t>
      </w:r>
    </w:p>
    <w:p>
      <w:pPr>
        <w:keepNext w:val="0"/>
        <w:keepLines w:val="0"/>
        <w:pageBreakBefore w:val="0"/>
        <w:widowControl/>
        <w:shd w:val="clear" w:color="auto" w:fill="FFFFFF"/>
        <w:kinsoku/>
        <w:wordWrap/>
        <w:overflowPunct/>
        <w:topLinePunct w:val="0"/>
        <w:bidi w:val="0"/>
        <w:snapToGrid/>
        <w:spacing w:line="404" w:lineRule="atLeast"/>
        <w:jc w:val="center"/>
        <w:textAlignment w:val="auto"/>
        <w:rPr>
          <w:rFonts w:hint="eastAsia" w:ascii="仿宋_GB2312" w:hAnsi="仿宋_GB2312" w:eastAsia="仿宋_GB2312" w:cs="仿宋_GB2312"/>
          <w:b w:val="0"/>
          <w:bCs w:val="0"/>
          <w:color w:val="222222"/>
          <w:kern w:val="0"/>
          <w:sz w:val="32"/>
          <w:szCs w:val="32"/>
        </w:rPr>
      </w:pPr>
      <w:r>
        <w:rPr>
          <w:rFonts w:hint="eastAsia" w:ascii="宋体" w:hAnsi="宋体" w:eastAsia="宋体" w:cs="宋体"/>
          <w:b/>
          <w:bCs/>
          <w:color w:val="222222"/>
          <w:spacing w:val="10"/>
          <w:kern w:val="0"/>
          <w:sz w:val="32"/>
          <w:szCs w:val="32"/>
        </w:rPr>
        <w:t>第二部分  201</w:t>
      </w:r>
      <w:r>
        <w:rPr>
          <w:rFonts w:hint="eastAsia" w:ascii="宋体" w:hAnsi="宋体" w:eastAsia="宋体" w:cs="宋体"/>
          <w:b/>
          <w:bCs/>
          <w:color w:val="222222"/>
          <w:spacing w:val="10"/>
          <w:kern w:val="0"/>
          <w:sz w:val="32"/>
          <w:szCs w:val="32"/>
          <w:lang w:val="en-US" w:eastAsia="zh-CN"/>
        </w:rPr>
        <w:t>8</w:t>
      </w:r>
      <w:r>
        <w:rPr>
          <w:rFonts w:hint="eastAsia" w:ascii="宋体" w:hAnsi="宋体" w:eastAsia="宋体" w:cs="宋体"/>
          <w:b/>
          <w:bCs/>
          <w:color w:val="222222"/>
          <w:spacing w:val="10"/>
          <w:kern w:val="0"/>
          <w:sz w:val="32"/>
          <w:szCs w:val="32"/>
        </w:rPr>
        <w:t>年度部门预算报表</w:t>
      </w:r>
    </w:p>
    <w:p>
      <w:pPr>
        <w:keepNext w:val="0"/>
        <w:keepLines w:val="0"/>
        <w:pageBreakBefore w:val="0"/>
        <w:widowControl/>
        <w:shd w:val="clear" w:color="auto" w:fill="FFFFFF"/>
        <w:kinsoku/>
        <w:wordWrap/>
        <w:overflowPunct/>
        <w:topLinePunct w:val="0"/>
        <w:bidi w:val="0"/>
        <w:snapToGrid/>
        <w:spacing w:line="404" w:lineRule="atLeast"/>
        <w:ind w:firstLine="680" w:firstLineChars="200"/>
        <w:textAlignment w:val="auto"/>
        <w:rPr>
          <w:rFonts w:hint="eastAsia" w:ascii="仿宋_GB2312" w:hAnsi="仿宋_GB2312" w:eastAsia="仿宋_GB2312" w:cs="仿宋_GB2312"/>
          <w:b w:val="0"/>
          <w:bCs w:val="0"/>
          <w:color w:val="222222"/>
          <w:kern w:val="0"/>
          <w:sz w:val="32"/>
          <w:szCs w:val="32"/>
        </w:rPr>
      </w:pPr>
      <w:r>
        <w:rPr>
          <w:rFonts w:hint="eastAsia" w:ascii="仿宋_GB2312" w:hAnsi="仿宋_GB2312" w:eastAsia="仿宋_GB2312" w:cs="仿宋_GB2312"/>
          <w:b w:val="0"/>
          <w:bCs w:val="0"/>
          <w:color w:val="222222"/>
          <w:spacing w:val="10"/>
          <w:kern w:val="0"/>
          <w:sz w:val="32"/>
          <w:szCs w:val="32"/>
        </w:rPr>
        <w:t>本部分内容见附表。</w:t>
      </w:r>
    </w:p>
    <w:p>
      <w:pPr>
        <w:keepNext w:val="0"/>
        <w:keepLines w:val="0"/>
        <w:pageBreakBefore w:val="0"/>
        <w:widowControl/>
        <w:shd w:val="clear" w:color="auto" w:fill="FFFFFF"/>
        <w:kinsoku/>
        <w:wordWrap/>
        <w:overflowPunct/>
        <w:topLinePunct w:val="0"/>
        <w:bidi w:val="0"/>
        <w:snapToGrid/>
        <w:spacing w:line="404" w:lineRule="atLeast"/>
        <w:ind w:right="0" w:rightChars="0"/>
        <w:jc w:val="center"/>
        <w:textAlignment w:val="auto"/>
        <w:outlineLvl w:val="9"/>
        <w:rPr>
          <w:rFonts w:hint="eastAsia" w:ascii="仿宋_GB2312" w:hAnsi="仿宋_GB2312" w:eastAsia="仿宋_GB2312" w:cs="仿宋_GB2312"/>
          <w:b w:val="0"/>
          <w:bCs w:val="0"/>
          <w:color w:val="222222"/>
          <w:kern w:val="0"/>
          <w:sz w:val="32"/>
          <w:szCs w:val="32"/>
        </w:rPr>
      </w:pPr>
      <w:r>
        <w:rPr>
          <w:rFonts w:hint="eastAsia" w:ascii="宋体" w:hAnsi="宋体" w:eastAsia="宋体" w:cs="宋体"/>
          <w:b/>
          <w:bCs/>
          <w:color w:val="222222"/>
          <w:spacing w:val="10"/>
          <w:kern w:val="0"/>
          <w:sz w:val="32"/>
          <w:szCs w:val="32"/>
        </w:rPr>
        <w:t>第三部分  201</w:t>
      </w:r>
      <w:r>
        <w:rPr>
          <w:rFonts w:hint="eastAsia" w:ascii="宋体" w:hAnsi="宋体" w:eastAsia="宋体" w:cs="宋体"/>
          <w:b/>
          <w:bCs/>
          <w:color w:val="222222"/>
          <w:spacing w:val="10"/>
          <w:kern w:val="0"/>
          <w:sz w:val="32"/>
          <w:szCs w:val="32"/>
          <w:lang w:val="en-US" w:eastAsia="zh-CN"/>
        </w:rPr>
        <w:t>8</w:t>
      </w:r>
      <w:r>
        <w:rPr>
          <w:rFonts w:hint="eastAsia" w:ascii="宋体" w:hAnsi="宋体" w:eastAsia="宋体" w:cs="宋体"/>
          <w:b/>
          <w:bCs/>
          <w:color w:val="222222"/>
          <w:spacing w:val="10"/>
          <w:kern w:val="0"/>
          <w:sz w:val="32"/>
          <w:szCs w:val="32"/>
        </w:rPr>
        <w:t>年度部门预算情况说明</w:t>
      </w:r>
    </w:p>
    <w:p>
      <w:pPr>
        <w:keepNext w:val="0"/>
        <w:keepLines w:val="0"/>
        <w:pageBreakBefore w:val="0"/>
        <w:widowControl/>
        <w:numPr>
          <w:ilvl w:val="0"/>
          <w:numId w:val="0"/>
        </w:numPr>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lang w:eastAsia="zh-CN"/>
        </w:rPr>
      </w:pPr>
      <w:r>
        <w:rPr>
          <w:rFonts w:hint="eastAsia" w:ascii="黑体" w:hAnsi="黑体" w:eastAsia="黑体" w:cs="黑体"/>
          <w:b w:val="0"/>
          <w:bCs w:val="0"/>
          <w:color w:val="222222"/>
          <w:spacing w:val="10"/>
          <w:kern w:val="0"/>
          <w:sz w:val="32"/>
          <w:szCs w:val="32"/>
          <w:lang w:val="en-US" w:eastAsia="zh-CN"/>
        </w:rPr>
        <w:t>1.</w:t>
      </w:r>
      <w:r>
        <w:rPr>
          <w:rFonts w:hint="eastAsia" w:ascii="黑体" w:hAnsi="黑体" w:eastAsia="黑体" w:cs="黑体"/>
          <w:b w:val="0"/>
          <w:bCs w:val="0"/>
          <w:color w:val="222222"/>
          <w:spacing w:val="10"/>
          <w:kern w:val="0"/>
          <w:sz w:val="32"/>
          <w:szCs w:val="32"/>
        </w:rPr>
        <w:t>201</w:t>
      </w:r>
      <w:r>
        <w:rPr>
          <w:rFonts w:hint="eastAsia" w:ascii="黑体" w:hAnsi="黑体" w:eastAsia="黑体" w:cs="黑体"/>
          <w:b w:val="0"/>
          <w:bCs w:val="0"/>
          <w:color w:val="222222"/>
          <w:spacing w:val="10"/>
          <w:kern w:val="0"/>
          <w:sz w:val="32"/>
          <w:szCs w:val="32"/>
          <w:lang w:val="en-US" w:eastAsia="zh-CN"/>
        </w:rPr>
        <w:t>8</w:t>
      </w:r>
      <w:r>
        <w:rPr>
          <w:rFonts w:hint="eastAsia" w:ascii="黑体" w:hAnsi="黑体" w:eastAsia="黑体" w:cs="黑体"/>
          <w:b w:val="0"/>
          <w:bCs w:val="0"/>
          <w:color w:val="222222"/>
          <w:spacing w:val="10"/>
          <w:kern w:val="0"/>
          <w:sz w:val="32"/>
          <w:szCs w:val="32"/>
        </w:rPr>
        <w:t>年度部门预算数据变动情况及原因</w:t>
      </w:r>
      <w:r>
        <w:rPr>
          <w:rFonts w:hint="eastAsia" w:ascii="仿宋_GB2312" w:hAnsi="仿宋_GB2312" w:eastAsia="仿宋_GB2312" w:cs="仿宋_GB2312"/>
          <w:b w:val="0"/>
          <w:bCs w:val="0"/>
          <w:color w:val="222222"/>
          <w:spacing w:val="10"/>
          <w:kern w:val="0"/>
          <w:sz w:val="32"/>
          <w:szCs w:val="32"/>
          <w:lang w:eastAsia="zh-CN"/>
        </w:rPr>
        <w:t>。</w:t>
      </w:r>
    </w:p>
    <w:p>
      <w:pPr>
        <w:keepNext w:val="0"/>
        <w:keepLines w:val="0"/>
        <w:pageBreakBefore w:val="0"/>
        <w:widowControl/>
        <w:numPr>
          <w:ilvl w:val="0"/>
          <w:numId w:val="0"/>
        </w:numPr>
        <w:shd w:val="clear" w:color="auto" w:fill="FFFFFF"/>
        <w:kinsoku/>
        <w:wordWrap/>
        <w:overflowPunct/>
        <w:topLinePunct w:val="0"/>
        <w:bidi w:val="0"/>
        <w:snapToGrid/>
        <w:spacing w:line="404" w:lineRule="atLeast"/>
        <w:ind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lang w:val="en-US" w:eastAsia="zh-CN"/>
        </w:rPr>
      </w:pPr>
      <w:r>
        <w:rPr>
          <w:rFonts w:hint="eastAsia" w:ascii="仿宋_GB2312" w:hAnsi="仿宋_GB2312" w:eastAsia="仿宋_GB2312" w:cs="仿宋_GB2312"/>
          <w:b w:val="0"/>
          <w:bCs w:val="0"/>
          <w:color w:val="222222"/>
          <w:spacing w:val="10"/>
          <w:kern w:val="0"/>
          <w:sz w:val="32"/>
          <w:szCs w:val="32"/>
          <w:lang w:val="en-US" w:eastAsia="zh-CN"/>
        </w:rPr>
        <w:t>永和县委宣传部2018年度财政拨预收765257.52元，2017年759471.60元，增加的原因：人员待遇提高，因此人员工资随之增加；新闻网络中心2018年度财政拨预收74535.06元，2017年93234.40元，减少的原因：个人的三公经费取消，因此总数减少。</w:t>
      </w:r>
    </w:p>
    <w:p>
      <w:pPr>
        <w:keepNext w:val="0"/>
        <w:keepLines w:val="0"/>
        <w:pageBreakBefore w:val="0"/>
        <w:numPr>
          <w:numId w:val="0"/>
        </w:numPr>
        <w:kinsoku/>
        <w:wordWrap/>
        <w:overflowPunct/>
        <w:topLinePunct w:val="0"/>
        <w:bidi w:val="0"/>
        <w:snapToGrid/>
        <w:ind w:firstLine="680" w:firstLineChars="200"/>
        <w:textAlignment w:val="auto"/>
        <w:rPr>
          <w:rFonts w:hint="eastAsia" w:ascii="仿宋_GB2312" w:hAnsi="仿宋_GB2312" w:eastAsia="仿宋_GB2312" w:cs="仿宋_GB2312"/>
          <w:b w:val="0"/>
          <w:bCs w:val="0"/>
          <w:color w:val="222222"/>
          <w:spacing w:val="10"/>
          <w:kern w:val="0"/>
          <w:sz w:val="32"/>
          <w:szCs w:val="32"/>
        </w:rPr>
      </w:pPr>
      <w:r>
        <w:rPr>
          <w:rFonts w:hint="eastAsia" w:ascii="黑体" w:hAnsi="黑体" w:eastAsia="黑体" w:cs="黑体"/>
          <w:b w:val="0"/>
          <w:bCs w:val="0"/>
          <w:color w:val="222222"/>
          <w:spacing w:val="10"/>
          <w:kern w:val="0"/>
          <w:sz w:val="32"/>
          <w:szCs w:val="32"/>
          <w:lang w:val="en-US" w:eastAsia="zh-CN"/>
        </w:rPr>
        <w:t>2.</w:t>
      </w:r>
      <w:r>
        <w:rPr>
          <w:rFonts w:hint="eastAsia" w:ascii="黑体" w:hAnsi="黑体" w:eastAsia="黑体" w:cs="黑体"/>
          <w:b w:val="0"/>
          <w:bCs w:val="0"/>
          <w:color w:val="222222"/>
          <w:spacing w:val="10"/>
          <w:kern w:val="0"/>
          <w:sz w:val="32"/>
          <w:szCs w:val="32"/>
        </w:rPr>
        <w:t>“三公”经费增减变动原因说明</w:t>
      </w:r>
      <w:r>
        <w:rPr>
          <w:rFonts w:hint="eastAsia" w:ascii="黑体" w:hAnsi="黑体" w:eastAsia="黑体" w:cs="黑体"/>
          <w:b w:val="0"/>
          <w:bCs w:val="0"/>
          <w:color w:val="222222"/>
          <w:spacing w:val="10"/>
          <w:kern w:val="0"/>
          <w:sz w:val="32"/>
          <w:szCs w:val="32"/>
          <w:lang w:eastAsia="zh-CN"/>
        </w:rPr>
        <w:t>：</w:t>
      </w:r>
      <w:r>
        <w:rPr>
          <w:rFonts w:hint="eastAsia" w:ascii="仿宋_GB2312" w:hAnsi="仿宋_GB2312" w:eastAsia="仿宋_GB2312" w:cs="仿宋_GB2312"/>
          <w:b w:val="0"/>
          <w:bCs w:val="0"/>
          <w:color w:val="222222"/>
          <w:spacing w:val="10"/>
          <w:kern w:val="0"/>
          <w:sz w:val="32"/>
          <w:szCs w:val="32"/>
          <w:lang w:eastAsia="zh-CN"/>
        </w:rPr>
        <w:t>无预算</w:t>
      </w:r>
    </w:p>
    <w:p>
      <w:pPr>
        <w:ind w:firstLine="636"/>
        <w:rPr>
          <w:rFonts w:ascii="仿宋" w:hAnsi="仿宋" w:eastAsia="仿宋" w:cs="宋体"/>
          <w:b/>
          <w:bCs/>
          <w:color w:val="222222"/>
          <w:spacing w:val="10"/>
          <w:kern w:val="0"/>
          <w:sz w:val="32"/>
          <w:szCs w:val="32"/>
        </w:rPr>
      </w:pPr>
      <w:r>
        <w:rPr>
          <w:rFonts w:hint="eastAsia" w:ascii="仿宋" w:hAnsi="仿宋" w:eastAsia="仿宋" w:cs="宋体"/>
          <w:b/>
          <w:bCs/>
          <w:color w:val="222222"/>
          <w:kern w:val="0"/>
          <w:sz w:val="30"/>
          <w:szCs w:val="30"/>
        </w:rPr>
        <w:t>3</w:t>
      </w:r>
      <w:r>
        <w:rPr>
          <w:rFonts w:hint="eastAsia" w:ascii="仿宋" w:hAnsi="仿宋" w:eastAsia="仿宋" w:cs="宋体"/>
          <w:b/>
          <w:bCs/>
          <w:color w:val="222222"/>
          <w:kern w:val="0"/>
          <w:sz w:val="30"/>
          <w:szCs w:val="30"/>
          <w:lang w:val="en-US" w:eastAsia="zh-CN"/>
        </w:rPr>
        <w:t>.</w:t>
      </w:r>
      <w:r>
        <w:rPr>
          <w:rFonts w:hint="eastAsia" w:ascii="仿宋" w:hAnsi="仿宋" w:eastAsia="仿宋" w:cs="宋体"/>
          <w:b/>
          <w:bCs/>
          <w:color w:val="222222"/>
          <w:spacing w:val="10"/>
          <w:kern w:val="0"/>
          <w:sz w:val="32"/>
          <w:szCs w:val="32"/>
        </w:rPr>
        <w:t>机关运行经费增减变动原因说明</w:t>
      </w:r>
    </w:p>
    <w:p>
      <w:pPr>
        <w:keepNext w:val="0"/>
        <w:keepLines w:val="0"/>
        <w:pageBreakBefore w:val="0"/>
        <w:numPr>
          <w:numId w:val="0"/>
        </w:numPr>
        <w:kinsoku/>
        <w:wordWrap/>
        <w:overflowPunct/>
        <w:topLinePunct w:val="0"/>
        <w:bidi w:val="0"/>
        <w:snapToGrid/>
        <w:ind w:firstLine="680" w:firstLineChars="200"/>
        <w:textAlignment w:val="auto"/>
        <w:rPr>
          <w:rFonts w:hint="eastAsia" w:ascii="仿宋_GB2312" w:hAnsi="仿宋_GB2312" w:eastAsia="仿宋_GB2312" w:cs="仿宋_GB2312"/>
          <w:b w:val="0"/>
          <w:bCs w:val="0"/>
          <w:color w:val="222222"/>
          <w:spacing w:val="10"/>
          <w:kern w:val="0"/>
          <w:sz w:val="32"/>
          <w:szCs w:val="32"/>
          <w:lang w:eastAsia="zh-CN"/>
        </w:rPr>
      </w:pPr>
      <w:r>
        <w:rPr>
          <w:rFonts w:hint="eastAsia" w:ascii="仿宋_GB2312" w:hAnsi="仿宋_GB2312" w:eastAsia="仿宋_GB2312" w:cs="仿宋_GB2312"/>
          <w:b w:val="0"/>
          <w:bCs w:val="0"/>
          <w:color w:val="222222"/>
          <w:spacing w:val="10"/>
          <w:kern w:val="0"/>
          <w:sz w:val="32"/>
          <w:szCs w:val="32"/>
          <w:lang w:val="en-US" w:eastAsia="zh-CN"/>
        </w:rPr>
        <w:t>2018年永和县委宣传部专项资金财政预算1356.4957万元，2017年652.501万元，增加的主要原因：首先是加入了乾坤湾景区的各项经费；其次</w:t>
      </w:r>
      <w:r>
        <w:rPr>
          <w:rFonts w:hint="eastAsia" w:ascii="仿宋_GB2312" w:hAnsi="仿宋_GB2312" w:eastAsia="仿宋_GB2312" w:cs="仿宋_GB2312"/>
          <w:b w:val="0"/>
          <w:bCs w:val="0"/>
          <w:color w:val="222222"/>
          <w:spacing w:val="10"/>
          <w:kern w:val="0"/>
          <w:sz w:val="32"/>
          <w:szCs w:val="32"/>
          <w:lang w:eastAsia="zh-CN"/>
        </w:rPr>
        <w:t>为了永和，提高对外知名度，加大对外宣传力度，提升公民道德水平，开展活动增多，因此经费增加。</w:t>
      </w:r>
    </w:p>
    <w:p>
      <w:pPr>
        <w:keepNext w:val="0"/>
        <w:keepLines w:val="0"/>
        <w:pageBreakBefore w:val="0"/>
        <w:widowControl/>
        <w:shd w:val="clear" w:color="auto" w:fill="FFFFFF"/>
        <w:kinsoku/>
        <w:wordWrap/>
        <w:overflowPunct/>
        <w:topLinePunct w:val="0"/>
        <w:bidi w:val="0"/>
        <w:snapToGrid/>
        <w:spacing w:line="404" w:lineRule="atLeast"/>
        <w:ind w:firstLine="640" w:firstLineChars="200"/>
        <w:textAlignment w:val="auto"/>
        <w:rPr>
          <w:rFonts w:hint="eastAsia" w:ascii="黑体" w:hAnsi="黑体" w:eastAsia="黑体" w:cs="黑体"/>
          <w:b w:val="0"/>
          <w:bCs w:val="0"/>
          <w:color w:val="222222"/>
          <w:spacing w:val="10"/>
          <w:kern w:val="0"/>
          <w:sz w:val="32"/>
          <w:szCs w:val="32"/>
        </w:rPr>
      </w:pPr>
      <w:r>
        <w:rPr>
          <w:rFonts w:hint="eastAsia" w:ascii="黑体" w:hAnsi="黑体" w:eastAsia="黑体" w:cs="黑体"/>
          <w:b w:val="0"/>
          <w:bCs w:val="0"/>
          <w:color w:val="222222"/>
          <w:kern w:val="0"/>
          <w:sz w:val="32"/>
          <w:szCs w:val="32"/>
          <w:lang w:val="en-US" w:eastAsia="zh-CN"/>
        </w:rPr>
        <w:t>4.</w:t>
      </w:r>
      <w:r>
        <w:rPr>
          <w:rFonts w:hint="eastAsia" w:ascii="黑体" w:hAnsi="黑体" w:eastAsia="黑体" w:cs="黑体"/>
          <w:b w:val="0"/>
          <w:bCs w:val="0"/>
          <w:color w:val="222222"/>
          <w:spacing w:val="10"/>
          <w:kern w:val="0"/>
          <w:sz w:val="32"/>
          <w:szCs w:val="32"/>
        </w:rPr>
        <w:t>其他说明</w:t>
      </w:r>
      <w:bookmarkStart w:id="0" w:name="_GoBack"/>
      <w:bookmarkEnd w:id="0"/>
    </w:p>
    <w:p>
      <w:pPr>
        <w:keepNext w:val="0"/>
        <w:keepLines w:val="0"/>
        <w:pageBreakBefore w:val="0"/>
        <w:kinsoku/>
        <w:wordWrap/>
        <w:overflowPunct/>
        <w:topLinePunct w:val="0"/>
        <w:bidi w:val="0"/>
        <w:snapToGrid/>
        <w:ind w:firstLine="680" w:firstLineChars="200"/>
        <w:textAlignment w:val="auto"/>
        <w:rPr>
          <w:rFonts w:hint="eastAsia" w:ascii="仿宋_GB2312" w:hAnsi="仿宋_GB2312" w:eastAsia="仿宋_GB2312" w:cs="仿宋_GB2312"/>
          <w:b w:val="0"/>
          <w:bCs w:val="0"/>
          <w:color w:val="222222"/>
          <w:spacing w:val="10"/>
          <w:kern w:val="0"/>
          <w:sz w:val="32"/>
          <w:szCs w:val="32"/>
          <w:lang w:val="en-US" w:eastAsia="zh-CN"/>
        </w:rPr>
      </w:pPr>
      <w:r>
        <w:rPr>
          <w:rFonts w:hint="eastAsia" w:ascii="仿宋_GB2312" w:hAnsi="仿宋_GB2312" w:eastAsia="仿宋_GB2312" w:cs="仿宋_GB2312"/>
          <w:b w:val="0"/>
          <w:bCs w:val="0"/>
          <w:color w:val="222222"/>
          <w:spacing w:val="10"/>
          <w:kern w:val="0"/>
          <w:sz w:val="32"/>
          <w:szCs w:val="32"/>
        </w:rPr>
        <w:t>（1）政府采购情况</w:t>
      </w:r>
      <w:r>
        <w:rPr>
          <w:rFonts w:hint="eastAsia" w:ascii="仿宋_GB2312" w:hAnsi="仿宋_GB2312" w:eastAsia="仿宋_GB2312" w:cs="仿宋_GB2312"/>
          <w:b w:val="0"/>
          <w:bCs w:val="0"/>
          <w:color w:val="222222"/>
          <w:spacing w:val="10"/>
          <w:kern w:val="0"/>
          <w:sz w:val="32"/>
          <w:szCs w:val="32"/>
          <w:lang w:eastAsia="zh-CN"/>
        </w:rPr>
        <w:t>：平遥摄影展、修建博物馆护栏、《永和日历》、大运高速广告宣传进行政府统一采购。</w:t>
      </w:r>
    </w:p>
    <w:p>
      <w:pPr>
        <w:keepNext w:val="0"/>
        <w:keepLines w:val="0"/>
        <w:pageBreakBefore w:val="0"/>
        <w:kinsoku/>
        <w:wordWrap/>
        <w:overflowPunct/>
        <w:topLinePunct w:val="0"/>
        <w:bidi w:val="0"/>
        <w:snapToGrid/>
        <w:ind w:firstLine="680" w:firstLineChars="200"/>
        <w:textAlignment w:val="auto"/>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（2）政府购买服务指导性目录</w:t>
      </w:r>
    </w:p>
    <w:p>
      <w:pPr>
        <w:keepNext w:val="0"/>
        <w:keepLines w:val="0"/>
        <w:pageBreakBefore w:val="0"/>
        <w:kinsoku/>
        <w:wordWrap/>
        <w:overflowPunct/>
        <w:topLinePunct w:val="0"/>
        <w:bidi w:val="0"/>
        <w:snapToGrid/>
        <w:ind w:firstLine="680" w:firstLineChars="200"/>
        <w:textAlignment w:val="auto"/>
        <w:rPr>
          <w:rFonts w:hint="eastAsia" w:ascii="仿宋_GB2312" w:hAnsi="仿宋_GB2312" w:eastAsia="仿宋_GB2312" w:cs="仿宋_GB2312"/>
          <w:b w:val="0"/>
          <w:bCs w:val="0"/>
          <w:color w:val="222222"/>
          <w:kern w:val="0"/>
          <w:sz w:val="32"/>
          <w:szCs w:val="32"/>
          <w:lang w:eastAsia="zh-CN"/>
        </w:rPr>
      </w:pPr>
      <w:r>
        <w:rPr>
          <w:rFonts w:hint="eastAsia" w:ascii="仿宋_GB2312" w:hAnsi="仿宋_GB2312" w:eastAsia="仿宋_GB2312" w:cs="仿宋_GB2312"/>
          <w:b w:val="0"/>
          <w:bCs w:val="0"/>
          <w:color w:val="222222"/>
          <w:spacing w:val="10"/>
          <w:kern w:val="0"/>
          <w:sz w:val="32"/>
          <w:szCs w:val="32"/>
        </w:rPr>
        <w:t>（3）国有资产占有使用</w:t>
      </w:r>
      <w:r>
        <w:rPr>
          <w:rFonts w:hint="eastAsia" w:ascii="仿宋_GB2312" w:hAnsi="仿宋_GB2312" w:eastAsia="仿宋_GB2312" w:cs="仿宋_GB2312"/>
          <w:b w:val="0"/>
          <w:bCs w:val="0"/>
          <w:color w:val="222222"/>
          <w:kern w:val="0"/>
          <w:sz w:val="32"/>
          <w:szCs w:val="32"/>
          <w:lang w:eastAsia="zh-CN"/>
        </w:rPr>
        <w:t>国有资产占有使用情况：</w:t>
      </w:r>
    </w:p>
    <w:p>
      <w:pPr>
        <w:keepNext w:val="0"/>
        <w:keepLines w:val="0"/>
        <w:pageBreakBefore w:val="0"/>
        <w:kinsoku/>
        <w:wordWrap/>
        <w:overflowPunct/>
        <w:topLinePunct w:val="0"/>
        <w:bidi w:val="0"/>
        <w:snapToGrid/>
        <w:ind w:firstLine="1360" w:firstLineChars="400"/>
        <w:textAlignment w:val="auto"/>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1.车辆情况：</w:t>
      </w:r>
      <w:r>
        <w:rPr>
          <w:rFonts w:hint="eastAsia" w:ascii="仿宋_GB2312" w:hAnsi="仿宋_GB2312" w:eastAsia="仿宋_GB2312" w:cs="仿宋_GB2312"/>
          <w:b w:val="0"/>
          <w:bCs w:val="0"/>
          <w:color w:val="222222"/>
          <w:kern w:val="0"/>
          <w:sz w:val="32"/>
          <w:szCs w:val="32"/>
          <w:lang w:eastAsia="zh-CN"/>
        </w:rPr>
        <w:t>无车辆。</w:t>
      </w:r>
    </w:p>
    <w:p>
      <w:pPr>
        <w:keepNext w:val="0"/>
        <w:keepLines w:val="0"/>
        <w:pageBreakBefore w:val="0"/>
        <w:kinsoku/>
        <w:wordWrap/>
        <w:overflowPunct/>
        <w:topLinePunct w:val="0"/>
        <w:bidi w:val="0"/>
        <w:snapToGrid/>
        <w:ind w:firstLine="1360" w:firstLineChars="400"/>
        <w:textAlignment w:val="auto"/>
        <w:rPr>
          <w:rFonts w:hint="eastAsia" w:ascii="仿宋_GB2312" w:hAnsi="仿宋_GB2312" w:eastAsia="仿宋_GB2312" w:cs="仿宋_GB2312"/>
          <w:b w:val="0"/>
          <w:bCs w:val="0"/>
          <w:color w:val="222222"/>
          <w:spacing w:val="10"/>
          <w:kern w:val="0"/>
          <w:sz w:val="32"/>
          <w:szCs w:val="32"/>
          <w:lang w:val="en-US" w:eastAsia="zh-CN"/>
        </w:rPr>
      </w:pPr>
      <w:r>
        <w:rPr>
          <w:rFonts w:hint="eastAsia" w:ascii="仿宋_GB2312" w:hAnsi="仿宋_GB2312" w:eastAsia="仿宋_GB2312" w:cs="仿宋_GB2312"/>
          <w:b w:val="0"/>
          <w:bCs w:val="0"/>
          <w:color w:val="222222"/>
          <w:spacing w:val="10"/>
          <w:kern w:val="0"/>
          <w:sz w:val="32"/>
          <w:szCs w:val="32"/>
        </w:rPr>
        <w:t>2.房屋情况：</w:t>
      </w:r>
      <w:r>
        <w:rPr>
          <w:rFonts w:hint="eastAsia" w:ascii="仿宋_GB2312" w:hAnsi="仿宋_GB2312" w:eastAsia="仿宋_GB2312" w:cs="仿宋_GB2312"/>
          <w:b w:val="0"/>
          <w:bCs w:val="0"/>
          <w:color w:val="222222"/>
          <w:spacing w:val="10"/>
          <w:kern w:val="0"/>
          <w:sz w:val="32"/>
          <w:szCs w:val="32"/>
          <w:lang w:eastAsia="zh-CN"/>
        </w:rPr>
        <w:t>政府正大楼三层</w:t>
      </w:r>
      <w:r>
        <w:rPr>
          <w:rFonts w:hint="eastAsia" w:ascii="仿宋_GB2312" w:hAnsi="仿宋_GB2312" w:eastAsia="仿宋_GB2312" w:cs="仿宋_GB2312"/>
          <w:b w:val="0"/>
          <w:bCs w:val="0"/>
          <w:color w:val="222222"/>
          <w:spacing w:val="10"/>
          <w:kern w:val="0"/>
          <w:sz w:val="32"/>
          <w:szCs w:val="32"/>
          <w:lang w:val="en-US" w:eastAsia="zh-CN"/>
        </w:rPr>
        <w:t>10间。</w:t>
      </w:r>
    </w:p>
    <w:p>
      <w:pPr>
        <w:keepNext w:val="0"/>
        <w:keepLines w:val="0"/>
        <w:pageBreakBefore w:val="0"/>
        <w:kinsoku/>
        <w:wordWrap/>
        <w:overflowPunct/>
        <w:topLinePunct w:val="0"/>
        <w:bidi w:val="0"/>
        <w:snapToGrid/>
        <w:ind w:firstLine="1360" w:firstLineChars="400"/>
        <w:textAlignment w:val="auto"/>
        <w:rPr>
          <w:rFonts w:hint="eastAsia" w:ascii="仿宋_GB2312" w:hAnsi="仿宋_GB2312" w:eastAsia="仿宋_GB2312" w:cs="仿宋_GB2312"/>
          <w:b w:val="0"/>
          <w:bCs w:val="0"/>
          <w:color w:val="222222"/>
          <w:spacing w:val="10"/>
          <w:kern w:val="0"/>
          <w:sz w:val="32"/>
          <w:szCs w:val="32"/>
          <w:lang w:eastAsia="zh-CN"/>
        </w:rPr>
      </w:pPr>
      <w:r>
        <w:rPr>
          <w:rFonts w:hint="eastAsia" w:ascii="仿宋_GB2312" w:hAnsi="仿宋_GB2312" w:eastAsia="仿宋_GB2312" w:cs="仿宋_GB2312"/>
          <w:b w:val="0"/>
          <w:bCs w:val="0"/>
          <w:color w:val="222222"/>
          <w:spacing w:val="10"/>
          <w:kern w:val="0"/>
          <w:sz w:val="32"/>
          <w:szCs w:val="32"/>
        </w:rPr>
        <w:t>3.其他国有资产占有使用情况</w:t>
      </w:r>
      <w:r>
        <w:rPr>
          <w:rFonts w:hint="eastAsia" w:ascii="仿宋_GB2312" w:hAnsi="仿宋_GB2312" w:eastAsia="仿宋_GB2312" w:cs="仿宋_GB2312"/>
          <w:b w:val="0"/>
          <w:bCs w:val="0"/>
          <w:color w:val="222222"/>
          <w:spacing w:val="10"/>
          <w:kern w:val="0"/>
          <w:sz w:val="32"/>
          <w:szCs w:val="32"/>
          <w:lang w:eastAsia="zh-CN"/>
        </w:rPr>
        <w:t>：无</w:t>
      </w:r>
    </w:p>
    <w:p>
      <w:pPr>
        <w:keepNext w:val="0"/>
        <w:keepLines w:val="0"/>
        <w:pageBreakBefore w:val="0"/>
        <w:kinsoku/>
        <w:wordWrap/>
        <w:overflowPunct/>
        <w:topLinePunct w:val="0"/>
        <w:bidi w:val="0"/>
        <w:snapToGrid/>
        <w:ind w:firstLine="680" w:firstLineChars="200"/>
        <w:textAlignment w:val="auto"/>
        <w:rPr>
          <w:rFonts w:hint="eastAsia" w:ascii="仿宋_GB2312" w:hAnsi="仿宋_GB2312" w:eastAsia="仿宋_GB2312" w:cs="仿宋_GB2312"/>
          <w:b w:val="0"/>
          <w:bCs w:val="0"/>
          <w:color w:val="222222"/>
          <w:kern w:val="0"/>
          <w:sz w:val="32"/>
          <w:szCs w:val="32"/>
          <w:lang w:val="en-US" w:eastAsia="zh-CN"/>
        </w:rPr>
      </w:pPr>
      <w:r>
        <w:rPr>
          <w:rFonts w:hint="eastAsia" w:ascii="仿宋_GB2312" w:hAnsi="仿宋_GB2312" w:eastAsia="仿宋_GB2312" w:cs="仿宋_GB2312"/>
          <w:b w:val="0"/>
          <w:bCs w:val="0"/>
          <w:color w:val="222222"/>
          <w:spacing w:val="10"/>
          <w:kern w:val="0"/>
          <w:sz w:val="32"/>
          <w:szCs w:val="32"/>
        </w:rPr>
        <w:t>（4）绩效管理情况</w:t>
      </w:r>
      <w:r>
        <w:rPr>
          <w:rFonts w:hint="eastAsia" w:ascii="仿宋_GB2312" w:hAnsi="仿宋_GB2312" w:eastAsia="仿宋_GB2312" w:cs="仿宋_GB2312"/>
          <w:b w:val="0"/>
          <w:bCs w:val="0"/>
          <w:color w:val="222222"/>
          <w:spacing w:val="10"/>
          <w:kern w:val="0"/>
          <w:sz w:val="32"/>
          <w:szCs w:val="32"/>
          <w:lang w:eastAsia="zh-CN"/>
        </w:rPr>
        <w:t>：</w:t>
      </w:r>
      <w:r>
        <w:rPr>
          <w:rFonts w:hint="eastAsia" w:ascii="仿宋_GB2312" w:hAnsi="仿宋_GB2312" w:eastAsia="仿宋_GB2312" w:cs="仿宋_GB2312"/>
          <w:b w:val="0"/>
          <w:bCs w:val="0"/>
          <w:color w:val="222222"/>
          <w:kern w:val="0"/>
          <w:sz w:val="32"/>
          <w:szCs w:val="32"/>
          <w:lang w:val="en-US" w:eastAsia="zh-CN"/>
        </w:rPr>
        <w:t>无</w:t>
      </w:r>
    </w:p>
    <w:p>
      <w:pPr>
        <w:keepNext w:val="0"/>
        <w:keepLines w:val="0"/>
        <w:pageBreakBefore w:val="0"/>
        <w:widowControl/>
        <w:shd w:val="clear" w:color="auto" w:fill="FFFFFF"/>
        <w:kinsoku/>
        <w:wordWrap/>
        <w:overflowPunct/>
        <w:topLinePunct w:val="0"/>
        <w:bidi w:val="0"/>
        <w:snapToGrid/>
        <w:spacing w:line="404" w:lineRule="atLeast"/>
        <w:jc w:val="center"/>
        <w:textAlignment w:val="auto"/>
        <w:rPr>
          <w:rFonts w:hint="eastAsia" w:ascii="宋体" w:hAnsi="宋体" w:eastAsia="宋体" w:cs="宋体"/>
          <w:b/>
          <w:bCs/>
          <w:color w:val="222222"/>
          <w:kern w:val="0"/>
          <w:sz w:val="32"/>
          <w:szCs w:val="32"/>
        </w:rPr>
      </w:pPr>
      <w:r>
        <w:rPr>
          <w:rFonts w:hint="eastAsia" w:ascii="宋体" w:hAnsi="宋体" w:eastAsia="宋体" w:cs="宋体"/>
          <w:b/>
          <w:bCs/>
          <w:color w:val="222222"/>
          <w:kern w:val="0"/>
          <w:sz w:val="32"/>
          <w:szCs w:val="32"/>
        </w:rPr>
        <w:t>第四部分   名词解释</w:t>
      </w:r>
    </w:p>
    <w:p>
      <w:pPr>
        <w:keepNext w:val="0"/>
        <w:keepLines w:val="0"/>
        <w:pageBreakBefore w:val="0"/>
        <w:kinsoku/>
        <w:wordWrap/>
        <w:overflowPunct/>
        <w:topLinePunct w:val="0"/>
        <w:autoSpaceDE w:val="0"/>
        <w:autoSpaceDN w:val="0"/>
        <w:bidi w:val="0"/>
        <w:adjustRightInd w:val="0"/>
        <w:snapToGrid/>
        <w:ind w:firstLine="680" w:firstLineChars="200"/>
        <w:textAlignment w:val="auto"/>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（1）基本支出：指为保障机构正常运转、完成日常</w:t>
      </w:r>
    </w:p>
    <w:p>
      <w:pPr>
        <w:keepNext w:val="0"/>
        <w:keepLines w:val="0"/>
        <w:pageBreakBefore w:val="0"/>
        <w:kinsoku/>
        <w:wordWrap/>
        <w:overflowPunct/>
        <w:topLinePunct w:val="0"/>
        <w:autoSpaceDE w:val="0"/>
        <w:autoSpaceDN w:val="0"/>
        <w:bidi w:val="0"/>
        <w:adjustRightInd w:val="0"/>
        <w:snapToGrid/>
        <w:ind w:firstLine="680" w:firstLineChars="200"/>
        <w:textAlignment w:val="auto"/>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工作任务而发生的人员支出和公用支出。</w:t>
      </w:r>
    </w:p>
    <w:p>
      <w:pPr>
        <w:keepNext w:val="0"/>
        <w:keepLines w:val="0"/>
        <w:pageBreakBefore w:val="0"/>
        <w:kinsoku/>
        <w:wordWrap/>
        <w:overflowPunct/>
        <w:topLinePunct w:val="0"/>
        <w:autoSpaceDE w:val="0"/>
        <w:autoSpaceDN w:val="0"/>
        <w:bidi w:val="0"/>
        <w:adjustRightInd w:val="0"/>
        <w:snapToGrid/>
        <w:ind w:firstLine="680" w:firstLineChars="200"/>
        <w:textAlignment w:val="auto"/>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（2）项目支出：指在基本支出之外为完成特定行政任务和事业发展目标所发生的支出。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val="0"/>
        <w:snapToGrid/>
        <w:ind w:firstLine="680" w:firstLineChars="200"/>
        <w:textAlignment w:val="auto"/>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autoSpaceDE w:val="0"/>
        <w:autoSpaceDN w:val="0"/>
        <w:bidi w:val="0"/>
        <w:adjustRightInd w:val="0"/>
        <w:snapToGrid/>
        <w:ind w:firstLine="680" w:firstLineChars="200"/>
        <w:textAlignment w:val="auto"/>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（4）机关运行经费：指行政单位和参照公务员法管理的事业单位使用一般公共预算安排的基本支出中的日常公用经费支出。</w:t>
      </w:r>
    </w:p>
    <w:p>
      <w:pPr>
        <w:keepNext w:val="0"/>
        <w:keepLines w:val="0"/>
        <w:pageBreakBefore w:val="0"/>
        <w:widowControl/>
        <w:shd w:val="clear" w:color="auto" w:fill="FFFFFF"/>
        <w:kinsoku/>
        <w:wordWrap/>
        <w:overflowPunct/>
        <w:topLinePunct w:val="0"/>
        <w:bidi w:val="0"/>
        <w:snapToGrid/>
        <w:spacing w:line="404" w:lineRule="atLeast"/>
        <w:ind w:firstLine="640" w:firstLineChars="200"/>
        <w:textAlignment w:val="auto"/>
        <w:rPr>
          <w:rFonts w:hint="eastAsia" w:ascii="仿宋_GB2312" w:hAnsi="仿宋_GB2312" w:eastAsia="仿宋_GB2312" w:cs="仿宋_GB2312"/>
          <w:b w:val="0"/>
          <w:bCs w:val="0"/>
          <w:color w:val="222222"/>
          <w:kern w:val="0"/>
          <w:sz w:val="32"/>
          <w:szCs w:val="32"/>
        </w:rPr>
      </w:pPr>
    </w:p>
    <w:p>
      <w:pPr>
        <w:keepNext w:val="0"/>
        <w:keepLines w:val="0"/>
        <w:pageBreakBefore w:val="0"/>
        <w:kinsoku/>
        <w:wordWrap/>
        <w:overflowPunct/>
        <w:topLinePunct w:val="0"/>
        <w:bidi w:val="0"/>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bidi w:val="0"/>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bidi w:val="0"/>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bidi w:val="0"/>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bidi w:val="0"/>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bidi w:val="0"/>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val="0"/>
        <w:autoSpaceDN w:val="0"/>
        <w:bidi w:val="0"/>
        <w:adjustRightInd w:val="0"/>
        <w:snapToGrid/>
        <w:ind w:left="0" w:leftChars="0" w:right="0" w:rightChars="0" w:firstLine="680" w:firstLineChars="200"/>
        <w:textAlignment w:val="auto"/>
        <w:outlineLvl w:val="9"/>
        <w:rPr>
          <w:rFonts w:hint="eastAsia" w:ascii="仿宋_GB2312" w:hAnsi="仿宋_GB2312" w:eastAsia="仿宋_GB2312" w:cs="仿宋_GB2312"/>
          <w:b w:val="0"/>
          <w:bCs w:val="0"/>
          <w:color w:val="222222"/>
          <w:spacing w:val="10"/>
          <w:kern w:val="0"/>
          <w:sz w:val="32"/>
          <w:szCs w:val="32"/>
        </w:rPr>
      </w:pPr>
    </w:p>
    <w:p>
      <w:pPr>
        <w:keepNext w:val="0"/>
        <w:keepLines w:val="0"/>
        <w:pageBreakBefore w:val="0"/>
        <w:widowControl/>
        <w:shd w:val="clear" w:color="auto" w:fill="FFFFFF"/>
        <w:kinsoku/>
        <w:wordWrap/>
        <w:overflowPunct/>
        <w:topLinePunct w:val="0"/>
        <w:bidi w:val="0"/>
        <w:snapToGrid/>
        <w:spacing w:line="404" w:lineRule="atLeast"/>
        <w:ind w:left="0" w:leftChars="0" w:right="0" w:rightChars="0" w:firstLine="640" w:firstLineChars="200"/>
        <w:textAlignment w:val="auto"/>
        <w:outlineLvl w:val="9"/>
        <w:rPr>
          <w:rFonts w:hint="eastAsia" w:ascii="仿宋_GB2312" w:hAnsi="仿宋_GB2312" w:eastAsia="仿宋_GB2312" w:cs="仿宋_GB2312"/>
          <w:b w:val="0"/>
          <w:bCs w:val="0"/>
          <w:color w:val="222222"/>
          <w:kern w:val="0"/>
          <w:sz w:val="32"/>
          <w:szCs w:val="32"/>
        </w:rPr>
      </w:pPr>
    </w:p>
    <w:p>
      <w:pPr>
        <w:keepNext w:val="0"/>
        <w:keepLines w:val="0"/>
        <w:pageBreakBefore w:val="0"/>
        <w:kinsoku/>
        <w:wordWrap/>
        <w:overflowPunct/>
        <w:topLinePunct w:val="0"/>
        <w:bidi w:val="0"/>
        <w:snapToGrid/>
        <w:ind w:left="0" w:leftChars="0" w:right="0" w:rightChars="0" w:firstLine="640" w:firstLineChars="200"/>
        <w:textAlignment w:val="auto"/>
        <w:outlineLvl w:val="9"/>
        <w:rPr>
          <w:rFonts w:hint="eastAsia" w:ascii="仿宋_GB2312" w:hAnsi="仿宋_GB2312" w:eastAsia="仿宋_GB2312" w:cs="仿宋_GB2312"/>
          <w:b w:val="0"/>
          <w:bCs w:val="0"/>
          <w:sz w:val="32"/>
          <w:szCs w:val="32"/>
          <w:lang w:eastAsia="zh-CN"/>
        </w:rPr>
      </w:pPr>
    </w:p>
    <w:p>
      <w:pPr>
        <w:keepNext w:val="0"/>
        <w:keepLines w:val="0"/>
        <w:pageBreakBefore w:val="0"/>
        <w:kinsoku/>
        <w:wordWrap/>
        <w:overflowPunct/>
        <w:topLinePunct w:val="0"/>
        <w:bidi w:val="0"/>
        <w:snapToGrid/>
        <w:ind w:left="0" w:leftChars="0" w:right="0" w:rightChars="0" w:firstLine="640" w:firstLineChars="200"/>
        <w:textAlignment w:val="auto"/>
        <w:outlineLvl w:val="9"/>
        <w:rPr>
          <w:rFonts w:hint="eastAsia" w:ascii="仿宋_GB2312" w:hAnsi="仿宋_GB2312" w:eastAsia="仿宋_GB2312" w:cs="仿宋_GB2312"/>
          <w:b w:val="0"/>
          <w:bCs w:val="0"/>
          <w:sz w:val="32"/>
          <w:szCs w:val="32"/>
          <w:lang w:eastAsia="zh-CN"/>
        </w:rPr>
      </w:pPr>
    </w:p>
    <w:p>
      <w:pPr>
        <w:keepNext w:val="0"/>
        <w:keepLines w:val="0"/>
        <w:pageBreakBefore w:val="0"/>
        <w:kinsoku/>
        <w:wordWrap/>
        <w:overflowPunct/>
        <w:topLinePunct w:val="0"/>
        <w:bidi w:val="0"/>
        <w:snapToGrid/>
        <w:ind w:left="0" w:leftChars="0" w:right="0" w:rightChars="0" w:firstLine="640" w:firstLineChars="200"/>
        <w:textAlignment w:val="auto"/>
        <w:outlineLvl w:val="9"/>
        <w:rPr>
          <w:rFonts w:hint="eastAsia" w:ascii="仿宋_GB2312" w:hAnsi="仿宋_GB2312" w:eastAsia="仿宋_GB2312" w:cs="仿宋_GB2312"/>
          <w:b w:val="0"/>
          <w:bCs w:val="0"/>
          <w:sz w:val="32"/>
          <w:szCs w:val="32"/>
          <w:lang w:eastAsia="zh-CN"/>
        </w:rPr>
      </w:pPr>
    </w:p>
    <w:p>
      <w:pPr>
        <w:keepNext w:val="0"/>
        <w:keepLines w:val="0"/>
        <w:pageBreakBefore w:val="0"/>
        <w:kinsoku/>
        <w:wordWrap/>
        <w:overflowPunct/>
        <w:topLinePunct w:val="0"/>
        <w:bidi w:val="0"/>
        <w:snapToGrid/>
        <w:ind w:left="0" w:leftChars="0" w:right="0" w:rightChars="0" w:firstLine="640" w:firstLineChars="200"/>
        <w:textAlignment w:val="auto"/>
        <w:outlineLvl w:val="9"/>
        <w:rPr>
          <w:rFonts w:hint="eastAsia" w:ascii="仿宋_GB2312" w:hAnsi="仿宋_GB2312" w:eastAsia="仿宋_GB2312" w:cs="仿宋_GB2312"/>
          <w:b w:val="0"/>
          <w:bCs w:val="0"/>
          <w:sz w:val="32"/>
          <w:szCs w:val="32"/>
          <w:lang w:eastAsia="zh-CN"/>
        </w:rPr>
      </w:pPr>
    </w:p>
    <w:p>
      <w:pPr>
        <w:keepNext w:val="0"/>
        <w:keepLines w:val="0"/>
        <w:pageBreakBefore w:val="0"/>
        <w:kinsoku/>
        <w:wordWrap/>
        <w:overflowPunct/>
        <w:topLinePunct w:val="0"/>
        <w:bidi w:val="0"/>
        <w:snapToGrid/>
        <w:ind w:left="0" w:leftChars="0" w:right="0" w:rightChars="0" w:firstLine="640" w:firstLineChars="200"/>
        <w:textAlignment w:val="auto"/>
        <w:outlineLvl w:val="9"/>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中共永和县委宣传部</w:t>
      </w:r>
    </w:p>
    <w:p>
      <w:pPr>
        <w:keepNext w:val="0"/>
        <w:keepLines w:val="0"/>
        <w:pageBreakBefore w:val="0"/>
        <w:kinsoku/>
        <w:wordWrap/>
        <w:overflowPunct/>
        <w:topLinePunct w:val="0"/>
        <w:bidi w:val="0"/>
        <w:snapToGrid/>
        <w:ind w:left="0" w:leftChars="0" w:right="0" w:righ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2018年5月8日</w:t>
      </w:r>
    </w:p>
    <w:p>
      <w:pPr>
        <w:keepNext w:val="0"/>
        <w:keepLines w:val="0"/>
        <w:pageBreakBefore w:val="0"/>
        <w:kinsoku/>
        <w:wordWrap/>
        <w:overflowPunct/>
        <w:topLinePunct w:val="0"/>
        <w:bidi w:val="0"/>
        <w:snapToGrid/>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modern"/>
    <w:pitch w:val="default"/>
    <w:sig w:usb0="00000000" w:usb1="00000000" w:usb2="00000016" w:usb3="00000000" w:csb0="00040001" w:csb1="00000000"/>
  </w:font>
  <w:font w:name="新宋体">
    <w:panose1 w:val="02010609030101010101"/>
    <w:charset w:val="86"/>
    <w:family w:val="auto"/>
    <w:pitch w:val="default"/>
    <w:sig w:usb0="00000003" w:usb1="080E0000" w:usb2="00000000"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882B03"/>
    <w:rsid w:val="06882B03"/>
    <w:rsid w:val="08B37D00"/>
    <w:rsid w:val="119B6D89"/>
    <w:rsid w:val="12A0774E"/>
    <w:rsid w:val="258007F6"/>
    <w:rsid w:val="268A13FC"/>
    <w:rsid w:val="4BF055FF"/>
    <w:rsid w:val="59140155"/>
    <w:rsid w:val="5A253334"/>
    <w:rsid w:val="67DD1D5C"/>
    <w:rsid w:val="6ABD4D4F"/>
    <w:rsid w:val="77371C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2017-03-30T07:24:00Z</dcterms:created>
  <dc:creator>Administrator</dc:creator>
  <cp:lastModifiedBy>xinya088</cp:lastModifiedBy>
  <dcterms:modified xsi:type="dcterms:W3CDTF">2018-05-10T09:32:01Z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