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永和县政法委</w:t>
      </w:r>
    </w:p>
    <w:p>
      <w:pPr>
        <w:jc w:val="center"/>
        <w:rPr>
          <w:rFonts w:hint="eastAsia" w:ascii="黑体" w:hAnsi="黑体" w:eastAsia="黑体" w:cs="黑体"/>
          <w:sz w:val="44"/>
          <w:szCs w:val="44"/>
        </w:rPr>
      </w:pPr>
      <w:r>
        <w:rPr>
          <w:rFonts w:hint="eastAsia" w:ascii="黑体" w:hAnsi="黑体" w:eastAsia="黑体" w:cs="黑体"/>
          <w:sz w:val="44"/>
          <w:szCs w:val="44"/>
        </w:rPr>
        <w:t>201</w:t>
      </w:r>
      <w:r>
        <w:rPr>
          <w:rFonts w:hint="eastAsia" w:ascii="黑体" w:hAnsi="黑体" w:eastAsia="黑体" w:cs="黑体"/>
          <w:sz w:val="44"/>
          <w:szCs w:val="44"/>
          <w:lang w:val="en-US" w:eastAsia="zh-CN"/>
        </w:rPr>
        <w:t>8</w:t>
      </w:r>
      <w:r>
        <w:rPr>
          <w:rFonts w:hint="eastAsia" w:ascii="黑体" w:hAnsi="黑体" w:eastAsia="黑体" w:cs="黑体"/>
          <w:sz w:val="44"/>
          <w:szCs w:val="44"/>
        </w:rPr>
        <w:t>年度部门预算情况说明</w:t>
      </w:r>
    </w:p>
    <w:p>
      <w:pPr>
        <w:rPr>
          <w:rFonts w:hint="eastAsia"/>
        </w:rPr>
      </w:pPr>
      <w:r>
        <w:rPr>
          <w:rFonts w:hint="eastAsia"/>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第一部分  概况</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职责：1、根据中央、省、市为对政法工作的指示和决定统一全县政法各部门的思想和行动，根据上级党委及政法委的部署，对政法工作作出部署和安排，并对落实情况加强监督检查。2、组织、协调和指导维护全县社会、政治稳定工作。3、支持和监督县政法各部门依法行使职权，指导和协调区政法各部门在依法相互制约的同时紧密配合，研究、协调有争议重大、疑难案件。 4、检查县政法部门执行法律法规和党的方针政策的情况，协助有关部门查处政法干部的违法犯罪案件，研究制定严肃执法、落实党的方针政策的具体措施。 5、研究、制定加强政法队伍建设和领导班子建设的措施，协助考察、管理政法部门的领导干部。 6、依据上级关于社会治安综合治理的法律及规定，结合本地区实际，统一领导、部署本地区的综合治理工作。 7、认真落实综合治理领导责任制，实行目标管理，把综合治理的各项任务落实到基层。 8、定期分析本地区的治安形势和综合治理情况，提出相应的工作措施。 9、开展调查研究，不断总结经验，指导面上工作，负责指导协调本地区各单位、各部门的综合治理工作，实行齐抓共管，充分发挥整体作用。10、加强对综合治理工作的检查、考核和监督，决定奖惩事项，提出奖惩建议和实行“一票否决制”的建议。 11、办理县委和上级政法委员会交办的其他事项。 </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部门预算单位构成：见义勇为奖励基金、法治建设工作经费、法制研究中心启动资金、涉法涉诉救助资金、综治工作经费、国安办工作经费、矛排工作经费及调解员补助、社会服务管理中心经费及网格长补助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第二部分  201</w:t>
      </w:r>
      <w:r>
        <w:rPr>
          <w:rFonts w:hint="eastAsia" w:ascii="黑体" w:hAnsi="黑体" w:eastAsia="黑体" w:cs="黑体"/>
          <w:sz w:val="32"/>
          <w:szCs w:val="32"/>
          <w:lang w:val="en-US" w:eastAsia="zh-CN"/>
        </w:rPr>
        <w:t>8</w:t>
      </w:r>
      <w:r>
        <w:rPr>
          <w:rFonts w:hint="eastAsia" w:ascii="黑体" w:hAnsi="黑体" w:eastAsia="黑体" w:cs="黑体"/>
          <w:sz w:val="32"/>
          <w:szCs w:val="32"/>
        </w:rPr>
        <w:t>年度部门预算报表</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本部分内容见附表。</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第三部分  201</w:t>
      </w:r>
      <w:r>
        <w:rPr>
          <w:rFonts w:hint="eastAsia" w:ascii="黑体" w:hAnsi="黑体" w:eastAsia="黑体" w:cs="黑体"/>
          <w:sz w:val="32"/>
          <w:szCs w:val="32"/>
          <w:lang w:val="en-US" w:eastAsia="zh-CN"/>
        </w:rPr>
        <w:t>8</w:t>
      </w:r>
      <w:r>
        <w:rPr>
          <w:rFonts w:hint="eastAsia" w:ascii="黑体" w:hAnsi="黑体" w:eastAsia="黑体" w:cs="黑体"/>
          <w:sz w:val="32"/>
          <w:szCs w:val="32"/>
        </w:rPr>
        <w:t>年度部门预算情况说明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年度部门预算数据变动情况及原因</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政法委201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年部门财政拨款预算</w:t>
      </w:r>
      <w:r>
        <w:rPr>
          <w:rFonts w:hint="eastAsia" w:ascii="仿宋_GB2312" w:hAnsi="仿宋_GB2312" w:eastAsia="仿宋_GB2312" w:cs="仿宋_GB2312"/>
          <w:sz w:val="32"/>
          <w:szCs w:val="32"/>
          <w:lang w:val="en-US" w:eastAsia="zh-CN"/>
        </w:rPr>
        <w:t>319</w:t>
      </w:r>
      <w:r>
        <w:rPr>
          <w:rFonts w:hint="eastAsia" w:ascii="仿宋_GB2312" w:hAnsi="仿宋_GB2312" w:eastAsia="仿宋_GB2312" w:cs="仿宋_GB2312"/>
          <w:sz w:val="32"/>
          <w:szCs w:val="32"/>
        </w:rPr>
        <w:t>万元，比201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年预算增加</w:t>
      </w:r>
      <w:r>
        <w:rPr>
          <w:rFonts w:hint="eastAsia" w:ascii="仿宋_GB2312" w:hAnsi="仿宋_GB2312" w:eastAsia="仿宋_GB2312" w:cs="仿宋_GB2312"/>
          <w:sz w:val="32"/>
          <w:szCs w:val="32"/>
          <w:lang w:val="en-US" w:eastAsia="zh-CN"/>
        </w:rPr>
        <w:t>240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需要建设综治中心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2、“三公”经费增减变动原因说明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政法委201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年“三公”经费财政拨款预算与201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年预算持平。</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3、机关运行经费增减变动原因说明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政法委201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年部门财政拨款预算</w:t>
      </w:r>
      <w:r>
        <w:rPr>
          <w:rFonts w:hint="eastAsia" w:ascii="仿宋_GB2312" w:hAnsi="仿宋_GB2312" w:eastAsia="仿宋_GB2312" w:cs="仿宋_GB2312"/>
          <w:sz w:val="32"/>
          <w:szCs w:val="32"/>
          <w:lang w:val="en-US" w:eastAsia="zh-CN"/>
        </w:rPr>
        <w:t>319</w:t>
      </w:r>
      <w:r>
        <w:rPr>
          <w:rFonts w:hint="eastAsia" w:ascii="仿宋_GB2312" w:hAnsi="仿宋_GB2312" w:eastAsia="仿宋_GB2312" w:cs="仿宋_GB2312"/>
          <w:sz w:val="32"/>
          <w:szCs w:val="32"/>
        </w:rPr>
        <w:t>万元，比201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年预算增加</w:t>
      </w:r>
      <w:r>
        <w:rPr>
          <w:rFonts w:hint="eastAsia" w:ascii="仿宋_GB2312" w:hAnsi="仿宋_GB2312" w:eastAsia="仿宋_GB2312" w:cs="仿宋_GB2312"/>
          <w:sz w:val="32"/>
          <w:szCs w:val="32"/>
          <w:lang w:val="en-US" w:eastAsia="zh-CN"/>
        </w:rPr>
        <w:t>240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需要建设综治中心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、其他说明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（1）政府采购情况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（2）政府购买服务指导性目录</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（3）国有资产占有使用情况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1.车辆情况：单位无公车。</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2.房屋情况：政法委办公地址，永和县正大路27号。</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3.其他国有资产占有使用情况。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（4）绩效管理情况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第四部分   名词解释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（1）基本支出：指为保障机构正常运转、完成日常</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（4）机关运行经费：指行政单位和参照公务员法管理的事业单位使用一般公共预算安排的基本支出中的日常公用经费支出。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902FB"/>
    <w:rsid w:val="434867E8"/>
    <w:rsid w:val="498902F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2018-05-10T09:09:00Z</dcterms:created>
  <dc:creator>信仰1416732235</dc:creator>
  <cp:lastModifiedBy>DELL</cp:lastModifiedBy>
  <dcterms:modified xsi:type="dcterms:W3CDTF">2018-05-10T09:50:04Z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