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仿宋" w:hAnsi="仿宋" w:eastAsia="仿宋" w:cs="宋体"/>
          <w:b/>
          <w:bCs/>
          <w:color w:val="222222"/>
          <w:spacing w:val="10"/>
          <w:kern w:val="0"/>
          <w:sz w:val="36"/>
          <w:szCs w:val="36"/>
          <w:lang w:eastAsia="zh-CN"/>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治超办</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 xml:space="preserve">（一）负责全县治超领导小组的日常工作和省、市治超政策的传达与落实。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（二）督导和协调治超领导小组各成员单位的治超工作。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（三）及时了解掌握全县治超工作的开展情况，不断推进和深化治超工作，向县市治超领导小组领导及市治超办提供治超信息，汇报治超工作。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 xml:space="preserve">（四）建立治超信息台帐制度，认真、准确、及时地收集数据，并及时向市治超办和县领导上报。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 xml:space="preserve">（五）按照省市治超政策文件精神和治超工作安排部署，详细制定本辖区内治理非法超限超载实施办法，组织开展治超工作专项行动，整体推进治超工作。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（六）建立治超领导组成员例会制度，并定期组织召开治超工作例会，对全县治超工作进行安排、检查、落实。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（七）建立明察暗访制度，对治超工作进行明察暗访，并将结果进行通报。 </w:t>
      </w:r>
    </w:p>
    <w:p>
      <w:pPr>
        <w:widowControl/>
        <w:shd w:val="clear" w:color="auto" w:fill="FFFFFF"/>
        <w:spacing w:line="404" w:lineRule="atLeast"/>
        <w:ind w:firstLine="600"/>
        <w:rPr>
          <w:rFonts w:hint="eastAsia" w:ascii="仿宋" w:hAnsi="仿宋" w:eastAsia="仿宋" w:cs="宋体"/>
          <w:color w:val="222222"/>
          <w:kern w:val="0"/>
          <w:sz w:val="30"/>
          <w:szCs w:val="30"/>
          <w:lang w:eastAsia="zh-CN"/>
        </w:rPr>
      </w:pPr>
      <w:r>
        <w:rPr>
          <w:rFonts w:hint="eastAsia" w:ascii="仿宋" w:hAnsi="仿宋" w:eastAsia="仿宋" w:cs="宋体"/>
          <w:color w:val="222222"/>
          <w:kern w:val="0"/>
          <w:sz w:val="30"/>
          <w:szCs w:val="30"/>
          <w:lang w:eastAsia="zh-CN"/>
        </w:rPr>
        <w:t>（八）完成市治超办及上级领导交办的其他工作。</w:t>
      </w:r>
    </w:p>
    <w:p>
      <w:pPr>
        <w:widowControl/>
        <w:shd w:val="clear" w:color="auto" w:fill="FFFFFF"/>
        <w:spacing w:line="404" w:lineRule="atLeast"/>
        <w:ind w:firstLine="600"/>
        <w:rPr>
          <w:rFonts w:hint="eastAsia" w:ascii="微软雅黑" w:hAnsi="微软雅黑" w:eastAsia="仿宋" w:cs="宋体"/>
          <w:color w:val="222222"/>
          <w:kern w:val="0"/>
          <w:sz w:val="22"/>
          <w:lang w:eastAsia="zh-CN"/>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w:t>
      </w:r>
      <w:r>
        <w:rPr>
          <w:rFonts w:hint="eastAsia" w:ascii="仿宋" w:hAnsi="仿宋" w:eastAsia="仿宋" w:cs="宋体"/>
          <w:color w:val="222222"/>
          <w:spacing w:val="10"/>
          <w:kern w:val="0"/>
          <w:sz w:val="32"/>
          <w:szCs w:val="32"/>
          <w:lang w:eastAsia="zh-CN"/>
        </w:rPr>
        <w:t>治超办</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治超办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年部门财政拨款预算1</w:t>
      </w:r>
      <w:r>
        <w:rPr>
          <w:rFonts w:hint="eastAsia" w:ascii="仿宋" w:hAnsi="仿宋" w:eastAsia="仿宋" w:cs="宋体"/>
          <w:color w:val="222222"/>
          <w:spacing w:val="10"/>
          <w:kern w:val="0"/>
          <w:sz w:val="32"/>
          <w:szCs w:val="32"/>
          <w:lang w:val="en-US" w:eastAsia="zh-CN"/>
        </w:rPr>
        <w:t>9.4</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12.6</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31.3</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治超办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年“三公”经费财政拨款预算2万元，</w:t>
      </w:r>
      <w:r>
        <w:rPr>
          <w:rFonts w:hint="eastAsia" w:ascii="仿宋" w:hAnsi="仿宋" w:eastAsia="仿宋" w:cs="宋体"/>
          <w:color w:val="222222"/>
          <w:spacing w:val="10"/>
          <w:kern w:val="0"/>
          <w:sz w:val="32"/>
          <w:szCs w:val="32"/>
          <w:lang w:eastAsia="zh-CN"/>
        </w:rPr>
        <w:t>与</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1万元</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治超办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年部门财政拨款预算1</w:t>
      </w:r>
      <w:r>
        <w:rPr>
          <w:rFonts w:hint="eastAsia" w:ascii="仿宋" w:hAnsi="仿宋" w:eastAsia="仿宋" w:cs="宋体"/>
          <w:color w:val="222222"/>
          <w:spacing w:val="10"/>
          <w:kern w:val="0"/>
          <w:sz w:val="32"/>
          <w:szCs w:val="32"/>
          <w:lang w:val="en-US" w:eastAsia="zh-CN"/>
        </w:rPr>
        <w:t>9.4</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12.6</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31.3</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1366" w:firstLineChars="402"/>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办公室</w:t>
      </w:r>
      <w:r>
        <w:rPr>
          <w:rFonts w:hint="eastAsia" w:ascii="仿宋" w:hAnsi="仿宋" w:eastAsia="仿宋" w:cs="宋体"/>
          <w:color w:val="222222"/>
          <w:spacing w:val="10"/>
          <w:kern w:val="0"/>
          <w:sz w:val="32"/>
          <w:szCs w:val="32"/>
          <w:lang w:val="en-US" w:eastAsia="zh-CN"/>
        </w:rPr>
        <w:t>2</w:t>
      </w:r>
      <w:bookmarkStart w:id="0" w:name="_GoBack"/>
      <w:bookmarkEnd w:id="0"/>
      <w:r>
        <w:rPr>
          <w:rFonts w:hint="eastAsia" w:ascii="仿宋" w:hAnsi="仿宋" w:eastAsia="仿宋" w:cs="宋体"/>
          <w:color w:val="222222"/>
          <w:spacing w:val="10"/>
          <w:kern w:val="0"/>
          <w:sz w:val="32"/>
          <w:szCs w:val="32"/>
          <w:lang w:val="en-US" w:eastAsia="zh-CN"/>
        </w:rPr>
        <w:t>间</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w:t>
      </w:r>
      <w:r>
        <w:rPr>
          <w:rFonts w:hint="eastAsia" w:ascii="仿宋" w:hAnsi="仿宋" w:eastAsia="仿宋" w:cs="宋体"/>
          <w:color w:val="222222"/>
          <w:spacing w:val="10"/>
          <w:kern w:val="0"/>
          <w:sz w:val="32"/>
          <w:szCs w:val="32"/>
          <w:lang w:eastAsia="zh-CN"/>
        </w:rPr>
        <w:t>县</w:t>
      </w:r>
      <w:r>
        <w:rPr>
          <w:rFonts w:hint="eastAsia" w:ascii="仿宋" w:hAnsi="仿宋" w:eastAsia="仿宋" w:cs="宋体"/>
          <w:color w:val="222222"/>
          <w:spacing w:val="10"/>
          <w:kern w:val="0"/>
          <w:sz w:val="32"/>
          <w:szCs w:val="32"/>
        </w:rPr>
        <w:t>直部门用一般公共预算安排的因公出国（境）费、公务用车购置及运行费和公务接待费。其中，因公出国（境）费反映单位公务出国（境）的国际旅费、国外城</w:t>
      </w:r>
      <w:r>
        <w:rPr>
          <w:rFonts w:hint="eastAsia" w:ascii="仿宋" w:hAnsi="仿宋" w:eastAsia="仿宋" w:cs="宋体"/>
          <w:color w:val="222222"/>
          <w:spacing w:val="10"/>
          <w:kern w:val="0"/>
          <w:sz w:val="32"/>
          <w:szCs w:val="32"/>
          <w:lang w:eastAsia="zh-CN"/>
        </w:rPr>
        <w:t>县</w:t>
      </w:r>
      <w:r>
        <w:rPr>
          <w:rFonts w:hint="eastAsia" w:ascii="仿宋" w:hAnsi="仿宋" w:eastAsia="仿宋" w:cs="宋体"/>
          <w:color w:val="222222"/>
          <w:spacing w:val="10"/>
          <w:kern w:val="0"/>
          <w:sz w:val="32"/>
          <w:szCs w:val="32"/>
        </w:rPr>
        <w:t>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0DDB7644"/>
    <w:rsid w:val="20BF627D"/>
    <w:rsid w:val="394D01DD"/>
    <w:rsid w:val="3C697F5A"/>
    <w:rsid w:val="3D926E08"/>
    <w:rsid w:val="5A377B1F"/>
    <w:rsid w:val="78D2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semiHidden/>
    <w:unhideWhenUsed/>
    <w:uiPriority w:val="99"/>
    <w:rPr>
      <w:color w:val="0000FF"/>
      <w:u w:val="single"/>
    </w:rPr>
  </w:style>
  <w:style w:type="character" w:customStyle="1" w:styleId="5">
    <w:name w:val="apple-converted-space"/>
    <w:basedOn w:val="2"/>
    <w:qFormat/>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0</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王晓康</cp:lastModifiedBy>
  <dcterms:modified xsi:type="dcterms:W3CDTF">2018-05-10T02:40:54Z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