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hint="eastAsia" w:ascii="微软雅黑" w:hAnsi="微软雅黑" w:eastAsia="仿宋" w:cs="宋体"/>
          <w:color w:val="222222"/>
          <w:kern w:val="0"/>
          <w:sz w:val="22"/>
          <w:lang w:eastAsia="zh-CN"/>
        </w:rPr>
      </w:pPr>
      <w:r>
        <w:rPr>
          <w:rFonts w:hint="eastAsia" w:ascii="仿宋" w:hAnsi="仿宋" w:eastAsia="仿宋" w:cs="宋体"/>
          <w:b/>
          <w:bCs/>
          <w:color w:val="222222"/>
          <w:spacing w:val="10"/>
          <w:kern w:val="0"/>
          <w:sz w:val="36"/>
          <w:szCs w:val="36"/>
        </w:rPr>
        <w:t>永和县</w:t>
      </w:r>
      <w:r>
        <w:rPr>
          <w:rFonts w:hint="eastAsia" w:ascii="仿宋" w:hAnsi="仿宋" w:eastAsia="仿宋" w:cs="宋体"/>
          <w:b/>
          <w:bCs/>
          <w:color w:val="222222"/>
          <w:spacing w:val="10"/>
          <w:kern w:val="0"/>
          <w:sz w:val="36"/>
          <w:szCs w:val="36"/>
          <w:lang w:eastAsia="zh-CN"/>
        </w:rPr>
        <w:t>看守所</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numPr>
          <w:ilvl w:val="0"/>
          <w:numId w:val="1"/>
        </w:numPr>
        <w:shd w:val="clear" w:color="auto" w:fill="FFFFFF"/>
        <w:spacing w:line="453" w:lineRule="atLeast"/>
        <w:ind w:firstLine="623"/>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主要职能职责：</w:t>
      </w:r>
    </w:p>
    <w:p>
      <w:pPr>
        <w:widowControl/>
        <w:shd w:val="clear" w:color="auto" w:fill="FFFFFF"/>
        <w:spacing w:line="527" w:lineRule="atLeast"/>
        <w:ind w:firstLine="623"/>
        <w:jc w:val="left"/>
        <w:rPr>
          <w:rFonts w:ascii="微软雅黑" w:hAnsi="微软雅黑" w:eastAsia="微软雅黑" w:cs="宋体"/>
          <w:color w:val="222222"/>
          <w:kern w:val="0"/>
          <w:sz w:val="32"/>
          <w:szCs w:val="32"/>
        </w:rPr>
      </w:pPr>
      <w:r>
        <w:rPr>
          <w:rFonts w:hint="eastAsia" w:ascii="仿宋" w:hAnsi="仿宋" w:eastAsia="仿宋" w:cs="宋体"/>
          <w:color w:val="000000"/>
          <w:kern w:val="0"/>
          <w:sz w:val="32"/>
          <w:szCs w:val="32"/>
          <w:lang w:eastAsia="zh-CN"/>
        </w:rPr>
        <w:t>负责看守所管理工作。对犯罪嫌疑人、被告人、拘留人员进行关押，实行武装看守和教育，防止其逃跑、自杀毁灭罪证，保证起诉、审判工作顺利进行。</w:t>
      </w:r>
    </w:p>
    <w:p>
      <w:pPr>
        <w:widowControl/>
        <w:numPr>
          <w:ilvl w:val="0"/>
          <w:numId w:val="1"/>
        </w:numPr>
        <w:shd w:val="clear" w:color="auto" w:fill="FFFFFF"/>
        <w:spacing w:line="404" w:lineRule="atLeast"/>
        <w:ind w:left="0" w:leftChars="0" w:firstLine="623" w:firstLineChars="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部门预算单位构成：</w:t>
      </w:r>
    </w:p>
    <w:p>
      <w:pPr>
        <w:widowControl/>
        <w:numPr>
          <w:ilvl w:val="0"/>
          <w:numId w:val="0"/>
        </w:numPr>
        <w:shd w:val="clear" w:color="auto" w:fill="FFFFFF"/>
        <w:spacing w:line="404" w:lineRule="atLeast"/>
        <w:rPr>
          <w:rFonts w:hint="eastAsia" w:ascii="仿宋" w:hAnsi="仿宋" w:eastAsia="仿宋" w:cs="宋体"/>
          <w:b w:val="0"/>
          <w:bCs w:val="0"/>
          <w:color w:val="222222"/>
          <w:spacing w:val="10"/>
          <w:kern w:val="0"/>
          <w:sz w:val="30"/>
          <w:szCs w:val="30"/>
          <w:lang w:eastAsia="zh-CN"/>
        </w:rPr>
      </w:pPr>
      <w:r>
        <w:rPr>
          <w:rFonts w:hint="eastAsia" w:ascii="仿宋" w:hAnsi="仿宋" w:eastAsia="仿宋" w:cs="宋体"/>
          <w:b w:val="0"/>
          <w:bCs w:val="0"/>
          <w:color w:val="222222"/>
          <w:spacing w:val="10"/>
          <w:kern w:val="0"/>
          <w:sz w:val="30"/>
          <w:szCs w:val="30"/>
        </w:rPr>
        <w:t>永和县</w:t>
      </w:r>
      <w:r>
        <w:rPr>
          <w:rFonts w:hint="eastAsia" w:ascii="仿宋" w:hAnsi="仿宋" w:eastAsia="仿宋" w:cs="宋体"/>
          <w:b w:val="0"/>
          <w:bCs w:val="0"/>
          <w:color w:val="222222"/>
          <w:spacing w:val="10"/>
          <w:kern w:val="0"/>
          <w:sz w:val="30"/>
          <w:szCs w:val="30"/>
          <w:lang w:eastAsia="zh-CN"/>
        </w:rPr>
        <w:t>看守所</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年度部门预算数据变动情况及原因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lang w:eastAsia="zh-CN"/>
        </w:rPr>
        <w:t>看守所</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年部门财政拨款预算</w:t>
      </w:r>
      <w:r>
        <w:rPr>
          <w:rFonts w:hint="eastAsia" w:ascii="仿宋" w:hAnsi="仿宋" w:eastAsia="仿宋" w:cs="宋体"/>
          <w:color w:val="222222"/>
          <w:spacing w:val="10"/>
          <w:kern w:val="0"/>
          <w:sz w:val="32"/>
          <w:szCs w:val="32"/>
          <w:lang w:val="en-US" w:eastAsia="zh-CN"/>
        </w:rPr>
        <w:t>38.5</w:t>
      </w:r>
      <w:r>
        <w:rPr>
          <w:rFonts w:hint="eastAsia" w:ascii="仿宋" w:hAnsi="仿宋" w:eastAsia="仿宋" w:cs="宋体"/>
          <w:color w:val="222222"/>
          <w:spacing w:val="10"/>
          <w:kern w:val="0"/>
          <w:sz w:val="32"/>
          <w:szCs w:val="32"/>
        </w:rPr>
        <w:t>万元，比201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年预算增加</w:t>
      </w:r>
      <w:r>
        <w:rPr>
          <w:rFonts w:hint="eastAsia" w:ascii="仿宋" w:hAnsi="仿宋" w:eastAsia="仿宋" w:cs="宋体"/>
          <w:color w:val="222222"/>
          <w:spacing w:val="10"/>
          <w:kern w:val="0"/>
          <w:sz w:val="32"/>
          <w:szCs w:val="32"/>
          <w:lang w:val="en-US" w:eastAsia="zh-CN"/>
        </w:rPr>
        <w:t>8.5</w:t>
      </w:r>
      <w:r>
        <w:rPr>
          <w:rFonts w:hint="eastAsia" w:ascii="仿宋" w:hAnsi="仿宋" w:eastAsia="仿宋" w:cs="宋体"/>
          <w:color w:val="222222"/>
          <w:spacing w:val="10"/>
          <w:kern w:val="0"/>
          <w:sz w:val="32"/>
          <w:szCs w:val="32"/>
        </w:rPr>
        <w:t>万元，原因是项目支出增加。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“三公”经费增减变动原因说明</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lang w:eastAsia="zh-CN"/>
        </w:rPr>
        <w:t>无增减。</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3、</w:t>
      </w:r>
      <w:r>
        <w:rPr>
          <w:rFonts w:hint="eastAsia" w:ascii="仿宋" w:hAnsi="仿宋" w:eastAsia="仿宋" w:cs="宋体"/>
          <w:color w:val="222222"/>
          <w:spacing w:val="10"/>
          <w:kern w:val="0"/>
          <w:sz w:val="32"/>
          <w:szCs w:val="32"/>
        </w:rPr>
        <w:t>机关运行经费增减变动原因说明</w:t>
      </w:r>
    </w:p>
    <w:p>
      <w:pPr>
        <w:ind w:firstLine="636"/>
        <w:rPr>
          <w:rFonts w:hint="eastAsia" w:ascii="仿宋" w:hAnsi="仿宋" w:eastAsia="仿宋" w:cs="宋体"/>
          <w:color w:val="222222"/>
          <w:spacing w:val="10"/>
          <w:kern w:val="0"/>
          <w:sz w:val="30"/>
          <w:szCs w:val="30"/>
          <w:lang w:eastAsia="zh-CN"/>
        </w:rPr>
      </w:pPr>
      <w:r>
        <w:rPr>
          <w:rFonts w:hint="eastAsia" w:ascii="仿宋" w:hAnsi="仿宋" w:eastAsia="仿宋" w:cs="宋体"/>
          <w:color w:val="222222"/>
          <w:spacing w:val="10"/>
          <w:kern w:val="0"/>
          <w:sz w:val="30"/>
          <w:szCs w:val="30"/>
          <w:lang w:eastAsia="zh-CN"/>
        </w:rPr>
        <w:t>看守所</w:t>
      </w:r>
      <w:r>
        <w:rPr>
          <w:rFonts w:hint="eastAsia" w:ascii="仿宋" w:hAnsi="仿宋" w:eastAsia="仿宋" w:cs="宋体"/>
          <w:color w:val="222222"/>
          <w:spacing w:val="10"/>
          <w:kern w:val="0"/>
          <w:sz w:val="30"/>
          <w:szCs w:val="30"/>
        </w:rPr>
        <w:t>201</w:t>
      </w:r>
      <w:r>
        <w:rPr>
          <w:rFonts w:hint="eastAsia" w:ascii="仿宋" w:hAnsi="仿宋" w:eastAsia="仿宋" w:cs="宋体"/>
          <w:color w:val="222222"/>
          <w:spacing w:val="10"/>
          <w:kern w:val="0"/>
          <w:sz w:val="30"/>
          <w:szCs w:val="30"/>
          <w:lang w:val="en-US" w:eastAsia="zh-CN"/>
        </w:rPr>
        <w:t>8</w:t>
      </w:r>
      <w:r>
        <w:rPr>
          <w:rFonts w:hint="eastAsia" w:ascii="仿宋" w:hAnsi="仿宋" w:eastAsia="仿宋" w:cs="宋体"/>
          <w:color w:val="222222"/>
          <w:spacing w:val="10"/>
          <w:kern w:val="0"/>
          <w:sz w:val="30"/>
          <w:szCs w:val="30"/>
        </w:rPr>
        <w:t>年</w:t>
      </w:r>
      <w:r>
        <w:rPr>
          <w:rFonts w:hint="eastAsia" w:ascii="仿宋" w:hAnsi="仿宋" w:eastAsia="仿宋" w:cs="宋体"/>
          <w:color w:val="222222"/>
          <w:spacing w:val="10"/>
          <w:kern w:val="0"/>
          <w:sz w:val="30"/>
          <w:szCs w:val="30"/>
          <w:lang w:eastAsia="zh-CN"/>
        </w:rPr>
        <w:t>新增</w:t>
      </w:r>
      <w:r>
        <w:rPr>
          <w:rFonts w:hint="eastAsia" w:ascii="仿宋" w:hAnsi="仿宋" w:eastAsia="仿宋" w:cs="宋体"/>
          <w:color w:val="222222"/>
          <w:spacing w:val="10"/>
          <w:kern w:val="0"/>
          <w:sz w:val="30"/>
          <w:szCs w:val="30"/>
        </w:rPr>
        <w:t>机关运行经费财政拨款预算</w:t>
      </w:r>
      <w:r>
        <w:rPr>
          <w:rFonts w:hint="eastAsia" w:ascii="仿宋" w:hAnsi="仿宋" w:eastAsia="仿宋" w:cs="宋体"/>
          <w:color w:val="222222"/>
          <w:spacing w:val="10"/>
          <w:kern w:val="0"/>
          <w:sz w:val="30"/>
          <w:szCs w:val="30"/>
          <w:lang w:val="en-US" w:eastAsia="zh-CN"/>
        </w:rPr>
        <w:t>3</w:t>
      </w:r>
      <w:r>
        <w:rPr>
          <w:rFonts w:hint="eastAsia" w:ascii="仿宋" w:hAnsi="仿宋" w:eastAsia="仿宋" w:cs="宋体"/>
          <w:color w:val="222222"/>
          <w:spacing w:val="10"/>
          <w:kern w:val="0"/>
          <w:sz w:val="30"/>
          <w:szCs w:val="30"/>
        </w:rPr>
        <w:t>万元</w:t>
      </w:r>
      <w:r>
        <w:rPr>
          <w:rFonts w:hint="eastAsia" w:ascii="仿宋" w:hAnsi="仿宋" w:eastAsia="仿宋" w:cs="宋体"/>
          <w:color w:val="222222"/>
          <w:spacing w:val="10"/>
          <w:kern w:val="0"/>
          <w:sz w:val="30"/>
          <w:szCs w:val="30"/>
          <w:lang w:eastAsia="zh-CN"/>
        </w:rPr>
        <w:t>。因差旅费、办公费等增加。</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4、</w:t>
      </w:r>
      <w:r>
        <w:rPr>
          <w:rFonts w:hint="eastAsia" w:ascii="仿宋" w:hAnsi="仿宋" w:eastAsia="仿宋" w:cs="宋体"/>
          <w:color w:val="222222"/>
          <w:spacing w:val="10"/>
          <w:kern w:val="0"/>
          <w:sz w:val="32"/>
          <w:szCs w:val="32"/>
        </w:rPr>
        <w:t>其他说明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（1）政府采购情况</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无</w:t>
      </w:r>
    </w:p>
    <w:p>
      <w:pPr>
        <w:numPr>
          <w:ilvl w:val="0"/>
          <w:numId w:val="2"/>
        </w:num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政府购买服务指导性目录</w:t>
      </w:r>
    </w:p>
    <w:p>
      <w:pPr>
        <w:numPr>
          <w:ilvl w:val="0"/>
          <w:numId w:val="2"/>
        </w:numPr>
        <w:ind w:left="0" w:leftChars="0" w:firstLine="636" w:firstLineChars="0"/>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rPr>
        <w:t>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1.车辆情况：公务用车</w:t>
      </w:r>
      <w:r>
        <w:rPr>
          <w:rFonts w:hint="eastAsia" w:ascii="仿宋" w:hAnsi="仿宋" w:eastAsia="仿宋" w:cs="宋体"/>
          <w:color w:val="222222"/>
          <w:spacing w:val="10"/>
          <w:kern w:val="0"/>
          <w:sz w:val="32"/>
          <w:szCs w:val="32"/>
          <w:lang w:val="en-US" w:eastAsia="zh-CN"/>
        </w:rPr>
        <w:t>1</w:t>
      </w:r>
      <w:r>
        <w:rPr>
          <w:rFonts w:hint="eastAsia" w:ascii="仿宋" w:hAnsi="仿宋" w:eastAsia="仿宋" w:cs="宋体"/>
          <w:color w:val="222222"/>
          <w:spacing w:val="10"/>
          <w:kern w:val="0"/>
          <w:sz w:val="32"/>
          <w:szCs w:val="32"/>
        </w:rPr>
        <w:t>辆</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2.房屋情况：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3.其他国有资产占有使用情况。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（4）绩效管理情况</w:t>
      </w:r>
    </w:p>
    <w:p>
      <w:pPr>
        <w:widowControl/>
        <w:shd w:val="clear" w:color="auto" w:fill="FFFFFF"/>
        <w:spacing w:line="404" w:lineRule="atLeast"/>
        <w:ind w:firstLine="900" w:firstLineChars="300"/>
        <w:jc w:val="both"/>
        <w:rPr>
          <w:rFonts w:hint="eastAsia" w:ascii="仿宋" w:hAnsi="仿宋" w:eastAsia="仿宋" w:cs="宋体"/>
          <w:b w:val="0"/>
          <w:bCs w:val="0"/>
          <w:color w:val="222222"/>
          <w:kern w:val="0"/>
          <w:sz w:val="30"/>
          <w:szCs w:val="30"/>
          <w:lang w:val="en-US" w:eastAsia="zh-CN"/>
        </w:rPr>
      </w:pPr>
      <w:r>
        <w:rPr>
          <w:rFonts w:hint="eastAsia" w:ascii="仿宋" w:hAnsi="仿宋" w:eastAsia="仿宋" w:cs="宋体"/>
          <w:b w:val="0"/>
          <w:bCs w:val="0"/>
          <w:color w:val="222222"/>
          <w:kern w:val="0"/>
          <w:sz w:val="30"/>
          <w:szCs w:val="30"/>
          <w:lang w:val="en-US" w:eastAsia="zh-CN"/>
        </w:rPr>
        <w:t>无</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（5）其他</w:t>
      </w:r>
      <w:bookmarkStart w:id="0" w:name="_GoBack"/>
      <w:bookmarkEnd w:id="0"/>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3EB133"/>
    <w:multiLevelType w:val="singleLevel"/>
    <w:tmpl w:val="793EB133"/>
    <w:lvl w:ilvl="0" w:tentative="0">
      <w:start w:val="2"/>
      <w:numFmt w:val="decimal"/>
      <w:suff w:val="nothing"/>
      <w:lvlText w:val="（%1）"/>
      <w:lvlJc w:val="left"/>
    </w:lvl>
  </w:abstractNum>
  <w:abstractNum w:abstractNumId="1">
    <w:nsid w:val="7AC075E1"/>
    <w:multiLevelType w:val="singleLevel"/>
    <w:tmpl w:val="7AC075E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21EF"/>
    <w:rsid w:val="000C0C6B"/>
    <w:rsid w:val="001C2306"/>
    <w:rsid w:val="00373617"/>
    <w:rsid w:val="003B113C"/>
    <w:rsid w:val="003E6182"/>
    <w:rsid w:val="004121EF"/>
    <w:rsid w:val="00546EDA"/>
    <w:rsid w:val="005863EB"/>
    <w:rsid w:val="00595869"/>
    <w:rsid w:val="005A4A16"/>
    <w:rsid w:val="006762C7"/>
    <w:rsid w:val="006E1147"/>
    <w:rsid w:val="007524CF"/>
    <w:rsid w:val="007937DA"/>
    <w:rsid w:val="00846E57"/>
    <w:rsid w:val="00A92AB3"/>
    <w:rsid w:val="00BA07C4"/>
    <w:rsid w:val="00D11D94"/>
    <w:rsid w:val="00D225E2"/>
    <w:rsid w:val="00FC5F55"/>
    <w:rsid w:val="06C47962"/>
    <w:rsid w:val="0E0B225C"/>
    <w:rsid w:val="20BF627D"/>
    <w:rsid w:val="32912E3E"/>
    <w:rsid w:val="394D01DD"/>
    <w:rsid w:val="3C697F5A"/>
    <w:rsid w:val="3D926E08"/>
    <w:rsid w:val="410E59C6"/>
    <w:rsid w:val="45BA692F"/>
    <w:rsid w:val="4BD52C8E"/>
    <w:rsid w:val="4F5266B9"/>
    <w:rsid w:val="581C71FD"/>
    <w:rsid w:val="58DB5168"/>
    <w:rsid w:val="5A377B1F"/>
    <w:rsid w:val="6D4F5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character" w:customStyle="1" w:styleId="4">
    <w:name w:val="apple-converted-space"/>
    <w:basedOn w:val="2"/>
    <w:qFormat/>
    <w:uiPriority w:val="0"/>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318</Words>
  <Characters>1816</Characters>
  <Lines>15</Lines>
  <Paragraphs>4</Paragraphs>
  <TotalTime>138</TotalTime>
  <ScaleCrop>false</ScaleCrop>
  <LinksUpToDate>false</LinksUpToDate>
  <CharactersWithSpaces>2130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DELL</cp:lastModifiedBy>
  <dcterms:modified xsi:type="dcterms:W3CDTF">2018-05-09T03:13:34Z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