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jc w:val="center"/>
        <w:rPr>
          <w:rFonts w:ascii="宋体" w:cs="宋体"/>
          <w:b/>
          <w:bCs/>
          <w:color w:val="000000"/>
          <w:sz w:val="44"/>
          <w:szCs w:val="44"/>
        </w:rPr>
      </w:pPr>
      <w:r>
        <w:rPr>
          <w:rFonts w:hint="eastAsia" w:ascii="宋体" w:hAnsi="宋体" w:cs="宋体"/>
          <w:b/>
          <w:bCs/>
          <w:color w:val="000000"/>
          <w:sz w:val="44"/>
          <w:szCs w:val="44"/>
        </w:rPr>
        <w:t>永和县纪委、监委</w:t>
      </w:r>
    </w:p>
    <w:p>
      <w:pPr>
        <w:pStyle w:val="2"/>
        <w:widowControl/>
        <w:spacing w:beforeAutospacing="0" w:afterAutospacing="0"/>
        <w:jc w:val="center"/>
        <w:rPr>
          <w:rFonts w:ascii="宋体" w:cs="宋体"/>
          <w:b/>
          <w:bCs/>
          <w:color w:val="000000"/>
          <w:sz w:val="44"/>
          <w:szCs w:val="44"/>
        </w:rPr>
      </w:pPr>
      <w:r>
        <w:rPr>
          <w:rFonts w:hint="eastAsia" w:ascii="宋体" w:hAnsi="宋体" w:cs="宋体"/>
          <w:b/>
          <w:bCs/>
          <w:color w:val="000000"/>
          <w:sz w:val="44"/>
          <w:szCs w:val="44"/>
        </w:rPr>
        <w:t>关于</w:t>
      </w:r>
      <w:r>
        <w:rPr>
          <w:rFonts w:ascii="宋体" w:hAnsi="宋体" w:cs="宋体"/>
          <w:b/>
          <w:bCs/>
          <w:color w:val="000000"/>
          <w:sz w:val="44"/>
          <w:szCs w:val="44"/>
        </w:rPr>
        <w:t>2018</w:t>
      </w:r>
      <w:r>
        <w:rPr>
          <w:rFonts w:hint="eastAsia" w:ascii="宋体" w:hAnsi="宋体" w:cs="宋体"/>
          <w:b/>
          <w:bCs/>
          <w:color w:val="000000"/>
          <w:sz w:val="44"/>
          <w:szCs w:val="44"/>
        </w:rPr>
        <w:t>年度预算情况说明</w:t>
      </w:r>
    </w:p>
    <w:p>
      <w:pPr>
        <w:pStyle w:val="2"/>
        <w:widowControl/>
        <w:spacing w:beforeAutospacing="0" w:afterAutospacing="0"/>
        <w:ind w:firstLine="640" w:firstLineChars="200"/>
        <w:jc w:val="both"/>
        <w:rPr>
          <w:rFonts w:ascii="仿宋_GB2312" w:hAnsi="仿宋_GB2312" w:eastAsia="仿宋_GB2312" w:cs="仿宋_GB2312"/>
          <w:color w:val="000000"/>
          <w:sz w:val="32"/>
          <w:szCs w:val="32"/>
        </w:rPr>
      </w:pPr>
    </w:p>
    <w:p>
      <w:pPr>
        <w:pStyle w:val="2"/>
        <w:widowControl/>
        <w:spacing w:beforeAutospacing="0" w:afterAutospacing="0"/>
        <w:jc w:val="center"/>
        <w:rPr>
          <w:rFonts w:ascii="黑体" w:hAnsi="黑体" w:eastAsia="黑体" w:cs="黑体"/>
          <w:color w:val="000000"/>
          <w:sz w:val="32"/>
          <w:szCs w:val="32"/>
        </w:rPr>
      </w:pPr>
      <w:bookmarkStart w:id="0" w:name="_GoBack"/>
      <w:r>
        <w:rPr>
          <w:rFonts w:hint="eastAsia" w:ascii="黑体" w:hAnsi="黑体" w:eastAsia="黑体" w:cs="黑体"/>
          <w:color w:val="000000"/>
          <w:sz w:val="32"/>
          <w:szCs w:val="32"/>
        </w:rPr>
        <w:t>第一部分</w:t>
      </w:r>
      <w:r>
        <w:rPr>
          <w:rFonts w:ascii="黑体" w:hAnsi="黑体" w:eastAsia="黑体" w:cs="黑体"/>
          <w:color w:val="000000"/>
          <w:sz w:val="32"/>
          <w:szCs w:val="32"/>
        </w:rPr>
        <w:t xml:space="preserve"> </w:t>
      </w:r>
      <w:r>
        <w:rPr>
          <w:rFonts w:hint="eastAsia" w:ascii="黑体" w:hAnsi="黑体" w:eastAsia="黑体" w:cs="黑体"/>
          <w:color w:val="000000"/>
          <w:sz w:val="32"/>
          <w:szCs w:val="32"/>
        </w:rPr>
        <w:t>概况</w:t>
      </w:r>
    </w:p>
    <w:bookmarkEnd w:id="0"/>
    <w:p>
      <w:pPr>
        <w:pStyle w:val="2"/>
        <w:widowControl/>
        <w:spacing w:beforeAutospacing="0" w:afterAutospacing="0"/>
        <w:ind w:firstLine="643"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一、主要职能</w:t>
      </w:r>
    </w:p>
    <w:p>
      <w:pPr>
        <w:pStyle w:val="2"/>
        <w:widowControl/>
        <w:spacing w:beforeAutospacing="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党的各级纪律检查委员会的主要任务是：维护党的章程和其他党内法规，检查党的路线、方针、政策和决议的执行情况，协助党的委员会加强党风建设和组织协调反腐败工作。</w:t>
      </w:r>
    </w:p>
    <w:p>
      <w:pPr>
        <w:pStyle w:val="2"/>
        <w:widowControl/>
        <w:spacing w:beforeAutospacing="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各级纪律检查委员会要经常对党员进行遵守纪律的教育，作出关于维护党纪的决定；对党员领导干部行使权力进行监督；检查和处理党的组织和党员违反党的章程和其他党内法规的比较重要或复杂的案件，决定或取消对这些案件中的党员的处分；受理党员的控告和申诉；保障党员的权利。</w:t>
      </w:r>
    </w:p>
    <w:p>
      <w:pPr>
        <w:pStyle w:val="2"/>
        <w:widowControl/>
        <w:spacing w:beforeAutospacing="0" w:afterAutospacing="0"/>
        <w:ind w:firstLine="643" w:firstLineChars="200"/>
        <w:jc w:val="both"/>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二、部门决算单位构成</w:t>
      </w:r>
    </w:p>
    <w:p>
      <w:pPr>
        <w:pStyle w:val="2"/>
        <w:widowControl/>
        <w:spacing w:beforeAutospacing="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根据省、市纪委监委工作要求，县纪委监委内设办公室、信访室、党风室、审理室、信息中心和</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个纪检监察室，均为副科级建制。</w:t>
      </w:r>
    </w:p>
    <w:p>
      <w:pPr>
        <w:pStyle w:val="2"/>
        <w:widowControl/>
        <w:spacing w:beforeAutospacing="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县纪委书记编制单列。县纪委监委共有编制</w:t>
      </w:r>
      <w:r>
        <w:rPr>
          <w:rFonts w:ascii="仿宋_GB2312" w:hAnsi="仿宋_GB2312" w:eastAsia="仿宋_GB2312" w:cs="仿宋_GB2312"/>
          <w:color w:val="000000"/>
          <w:sz w:val="32"/>
          <w:szCs w:val="32"/>
        </w:rPr>
        <w:t>38</w:t>
      </w:r>
      <w:r>
        <w:rPr>
          <w:rFonts w:hint="eastAsia" w:ascii="仿宋_GB2312" w:hAnsi="仿宋_GB2312" w:eastAsia="仿宋_GB2312" w:cs="仿宋_GB2312"/>
          <w:color w:val="000000"/>
          <w:sz w:val="32"/>
          <w:szCs w:val="32"/>
        </w:rPr>
        <w:t>名，其中行政编制</w:t>
      </w:r>
      <w:r>
        <w:rPr>
          <w:rFonts w:ascii="仿宋_GB2312" w:hAnsi="仿宋_GB2312" w:eastAsia="仿宋_GB2312" w:cs="仿宋_GB2312"/>
          <w:color w:val="000000"/>
          <w:sz w:val="32"/>
          <w:szCs w:val="32"/>
        </w:rPr>
        <w:t>32</w:t>
      </w:r>
      <w:r>
        <w:rPr>
          <w:rFonts w:hint="eastAsia" w:ascii="仿宋_GB2312" w:hAnsi="仿宋_GB2312" w:eastAsia="仿宋_GB2312" w:cs="仿宋_GB2312"/>
          <w:color w:val="000000"/>
          <w:sz w:val="32"/>
          <w:szCs w:val="32"/>
        </w:rPr>
        <w:t>名，事业编制</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名，另行核定工勤人员</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名。现有工作人员</w:t>
      </w:r>
      <w:r>
        <w:rPr>
          <w:rFonts w:ascii="仿宋_GB2312" w:hAnsi="仿宋_GB2312" w:eastAsia="仿宋_GB2312" w:cs="仿宋_GB2312"/>
          <w:color w:val="000000"/>
          <w:sz w:val="32"/>
          <w:szCs w:val="32"/>
        </w:rPr>
        <w:t>28</w:t>
      </w:r>
      <w:r>
        <w:rPr>
          <w:rFonts w:hint="eastAsia" w:ascii="仿宋_GB2312" w:hAnsi="仿宋_GB2312" w:eastAsia="仿宋_GB2312" w:cs="仿宋_GB2312"/>
          <w:color w:val="000000"/>
          <w:sz w:val="32"/>
          <w:szCs w:val="32"/>
        </w:rPr>
        <w:t>名，其中行政人员</w:t>
      </w:r>
      <w:r>
        <w:rPr>
          <w:rFonts w:ascii="仿宋_GB2312" w:hAnsi="仿宋_GB2312" w:eastAsia="仿宋_GB2312" w:cs="仿宋_GB2312"/>
          <w:color w:val="000000"/>
          <w:sz w:val="32"/>
          <w:szCs w:val="32"/>
        </w:rPr>
        <w:t>23</w:t>
      </w:r>
      <w:r>
        <w:rPr>
          <w:rFonts w:hint="eastAsia" w:ascii="仿宋_GB2312" w:hAnsi="仿宋_GB2312" w:eastAsia="仿宋_GB2312" w:cs="仿宋_GB2312"/>
          <w:color w:val="000000"/>
          <w:sz w:val="32"/>
          <w:szCs w:val="32"/>
        </w:rPr>
        <w:t>名，事业人员</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名，工勤人员</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名）。</w:t>
      </w:r>
    </w:p>
    <w:p>
      <w:pPr>
        <w:pStyle w:val="2"/>
        <w:widowControl/>
        <w:spacing w:beforeAutospacing="0" w:afterAutospacing="0"/>
        <w:ind w:firstLine="640" w:firstLineChars="200"/>
        <w:jc w:val="both"/>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信息中心为隶属于纪委机关的副科级事业单位，编制总额</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名，主任</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名，工作人员</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名。</w:t>
      </w:r>
    </w:p>
    <w:p>
      <w:pPr>
        <w:pStyle w:val="2"/>
        <w:widowControl/>
        <w:spacing w:beforeAutospacing="0" w:afterAutospacing="0"/>
        <w:ind w:firstLine="640" w:firstLineChars="200"/>
        <w:jc w:val="center"/>
        <w:rPr>
          <w:rFonts w:ascii="黑体" w:hAnsi="黑体" w:eastAsia="黑体" w:cs="黑体"/>
          <w:color w:val="000000"/>
          <w:sz w:val="32"/>
          <w:szCs w:val="32"/>
        </w:rPr>
      </w:pPr>
      <w:r>
        <w:rPr>
          <w:rFonts w:hint="eastAsia" w:ascii="黑体" w:hAnsi="黑体" w:eastAsia="黑体" w:cs="黑体"/>
          <w:color w:val="000000"/>
          <w:sz w:val="32"/>
          <w:szCs w:val="32"/>
        </w:rPr>
        <w:t>第二部分</w:t>
      </w:r>
      <w:r>
        <w:rPr>
          <w:rFonts w:ascii="黑体" w:hAnsi="黑体" w:eastAsia="黑体" w:cs="黑体"/>
          <w:color w:val="000000"/>
          <w:sz w:val="32"/>
          <w:szCs w:val="32"/>
        </w:rPr>
        <w:t xml:space="preserve"> 2018</w:t>
      </w:r>
      <w:r>
        <w:rPr>
          <w:rFonts w:hint="eastAsia" w:ascii="黑体" w:hAnsi="黑体" w:eastAsia="黑体" w:cs="黑体"/>
          <w:color w:val="000000"/>
          <w:sz w:val="32"/>
          <w:szCs w:val="32"/>
        </w:rPr>
        <w:t>年度部门预算报表</w:t>
      </w:r>
    </w:p>
    <w:p>
      <w:pPr>
        <w:pStyle w:val="2"/>
        <w:widowControl/>
        <w:spacing w:beforeAutospacing="0" w:afterAutospacing="0"/>
        <w:ind w:firstLine="640" w:firstLineChars="2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本部分内容见附表。</w:t>
      </w:r>
    </w:p>
    <w:p>
      <w:pPr>
        <w:widowControl/>
        <w:shd w:val="clear" w:color="auto" w:fill="FFFFFF"/>
        <w:spacing w:line="404" w:lineRule="atLeast"/>
        <w:jc w:val="center"/>
        <w:rPr>
          <w:rFonts w:hint="eastAsia" w:ascii="仿宋_GB2312" w:hAnsi="仿宋_GB2312" w:eastAsia="仿宋_GB2312" w:cs="仿宋_GB2312"/>
          <w:color w:val="000000"/>
          <w:sz w:val="32"/>
          <w:szCs w:val="32"/>
        </w:rPr>
      </w:pPr>
      <w:r>
        <w:rPr>
          <w:rFonts w:hint="eastAsia" w:ascii="黑体" w:hAnsi="黑体" w:eastAsia="黑体" w:cs="黑体"/>
          <w:color w:val="000000"/>
          <w:kern w:val="0"/>
          <w:sz w:val="32"/>
          <w:szCs w:val="32"/>
          <w:lang w:val="en-US" w:eastAsia="zh-CN" w:bidi="ar-SA"/>
        </w:rPr>
        <w:t>第三部分  2018年度部门预算情况说明</w:t>
      </w:r>
    </w:p>
    <w:p>
      <w:pPr>
        <w:ind w:firstLine="630"/>
        <w:rPr>
          <w:rFonts w:ascii="楷体_GB2312" w:hAnsi="仿宋" w:eastAsia="楷体_GB2312"/>
          <w:b/>
          <w:sz w:val="32"/>
          <w:szCs w:val="32"/>
        </w:rPr>
      </w:pPr>
      <w:r>
        <w:rPr>
          <w:rFonts w:ascii="楷体_GB2312" w:hAnsi="仿宋" w:eastAsia="楷体_GB2312"/>
          <w:b/>
          <w:sz w:val="32"/>
          <w:szCs w:val="32"/>
        </w:rPr>
        <w:t>1</w:t>
      </w:r>
      <w:r>
        <w:rPr>
          <w:rFonts w:hint="eastAsia" w:ascii="楷体_GB2312" w:hAnsi="仿宋" w:eastAsia="楷体_GB2312"/>
          <w:b/>
          <w:sz w:val="32"/>
          <w:szCs w:val="32"/>
        </w:rPr>
        <w:t>、</w:t>
      </w:r>
      <w:r>
        <w:rPr>
          <w:rFonts w:ascii="楷体_GB2312" w:hAnsi="仿宋" w:eastAsia="楷体_GB2312"/>
          <w:b/>
          <w:sz w:val="32"/>
          <w:szCs w:val="32"/>
        </w:rPr>
        <w:t>2018</w:t>
      </w:r>
      <w:r>
        <w:rPr>
          <w:rFonts w:hint="eastAsia" w:ascii="楷体_GB2312" w:hAnsi="仿宋" w:eastAsia="楷体_GB2312"/>
          <w:b/>
          <w:sz w:val="32"/>
          <w:szCs w:val="32"/>
        </w:rPr>
        <w:t>年度部门预算数据变动情况及原因</w:t>
      </w:r>
    </w:p>
    <w:p>
      <w:pPr>
        <w:ind w:firstLine="630"/>
        <w:rPr>
          <w:rFonts w:ascii="仿宋_GB2312" w:hAnsi="仿宋" w:eastAsia="仿宋_GB2312"/>
          <w:sz w:val="32"/>
          <w:szCs w:val="32"/>
        </w:rPr>
      </w:pPr>
      <w:r>
        <w:rPr>
          <w:rFonts w:ascii="仿宋_GB2312" w:hAnsi="仿宋" w:eastAsia="仿宋_GB2312"/>
          <w:sz w:val="32"/>
          <w:szCs w:val="32"/>
        </w:rPr>
        <w:t>2018</w:t>
      </w:r>
      <w:r>
        <w:rPr>
          <w:rFonts w:hint="eastAsia" w:ascii="仿宋_GB2312" w:hAnsi="仿宋" w:eastAsia="仿宋_GB2312"/>
          <w:sz w:val="32"/>
          <w:szCs w:val="32"/>
        </w:rPr>
        <w:t>年度，一般预算财政拨款收入</w:t>
      </w:r>
      <w:r>
        <w:rPr>
          <w:rFonts w:ascii="仿宋_GB2312" w:hAnsi="仿宋" w:eastAsia="仿宋_GB2312"/>
          <w:sz w:val="32"/>
          <w:szCs w:val="32"/>
        </w:rPr>
        <w:t>4662352.68</w:t>
      </w:r>
      <w:r>
        <w:rPr>
          <w:rFonts w:hint="eastAsia" w:ascii="仿宋_GB2312" w:hAnsi="仿宋" w:eastAsia="仿宋_GB2312"/>
          <w:sz w:val="32"/>
          <w:szCs w:val="32"/>
        </w:rPr>
        <w:t>元，比</w:t>
      </w:r>
      <w:r>
        <w:rPr>
          <w:rFonts w:ascii="仿宋_GB2312" w:hAnsi="仿宋" w:eastAsia="仿宋_GB2312"/>
          <w:sz w:val="32"/>
          <w:szCs w:val="32"/>
        </w:rPr>
        <w:t>2017</w:t>
      </w:r>
      <w:r>
        <w:rPr>
          <w:rFonts w:hint="eastAsia" w:ascii="仿宋_GB2312" w:hAnsi="仿宋" w:eastAsia="仿宋_GB2312"/>
          <w:sz w:val="32"/>
          <w:szCs w:val="32"/>
        </w:rPr>
        <w:t>年减少</w:t>
      </w:r>
      <w:r>
        <w:rPr>
          <w:rFonts w:ascii="仿宋_GB2312" w:hAnsi="仿宋" w:eastAsia="仿宋_GB2312"/>
          <w:sz w:val="32"/>
          <w:szCs w:val="32"/>
        </w:rPr>
        <w:t>1097163.6</w:t>
      </w:r>
      <w:r>
        <w:rPr>
          <w:rFonts w:hint="eastAsia" w:ascii="仿宋_GB2312" w:hAnsi="仿宋" w:eastAsia="仿宋_GB2312"/>
          <w:sz w:val="32"/>
          <w:szCs w:val="32"/>
        </w:rPr>
        <w:t>元，减少</w:t>
      </w:r>
      <w:r>
        <w:rPr>
          <w:rFonts w:ascii="仿宋_GB2312" w:hAnsi="仿宋" w:eastAsia="仿宋_GB2312"/>
          <w:sz w:val="32"/>
          <w:szCs w:val="32"/>
        </w:rPr>
        <w:t>19%</w:t>
      </w:r>
      <w:r>
        <w:rPr>
          <w:rFonts w:hint="eastAsia" w:ascii="仿宋_GB2312" w:hAnsi="仿宋" w:eastAsia="仿宋_GB2312"/>
          <w:sz w:val="32"/>
          <w:szCs w:val="32"/>
        </w:rPr>
        <w:t>。原因是</w:t>
      </w:r>
      <w:r>
        <w:rPr>
          <w:rFonts w:ascii="仿宋_GB2312" w:hAnsi="仿宋" w:eastAsia="仿宋_GB2312"/>
          <w:sz w:val="32"/>
          <w:szCs w:val="32"/>
        </w:rPr>
        <w:t>2018</w:t>
      </w:r>
      <w:r>
        <w:rPr>
          <w:rFonts w:hint="eastAsia" w:ascii="仿宋_GB2312" w:hAnsi="仿宋" w:eastAsia="仿宋_GB2312"/>
          <w:sz w:val="32"/>
          <w:szCs w:val="32"/>
        </w:rPr>
        <w:t>年县财政资金紧张，预算减少。</w:t>
      </w:r>
    </w:p>
    <w:p>
      <w:pPr>
        <w:ind w:firstLine="630"/>
        <w:rPr>
          <w:rFonts w:ascii="楷体_GB2312" w:hAnsi="仿宋" w:eastAsia="楷体_GB2312"/>
          <w:b/>
          <w:sz w:val="32"/>
          <w:szCs w:val="32"/>
        </w:rPr>
      </w:pPr>
      <w:r>
        <w:rPr>
          <w:rFonts w:ascii="楷体_GB2312" w:hAnsi="仿宋" w:eastAsia="楷体_GB2312"/>
          <w:b/>
          <w:sz w:val="32"/>
          <w:szCs w:val="32"/>
        </w:rPr>
        <w:t>2</w:t>
      </w:r>
      <w:r>
        <w:rPr>
          <w:rFonts w:hint="eastAsia" w:ascii="楷体_GB2312" w:hAnsi="仿宋" w:eastAsia="楷体_GB2312"/>
          <w:b/>
          <w:sz w:val="32"/>
          <w:szCs w:val="32"/>
        </w:rPr>
        <w:t>、“三公经费”增减变动原因说明</w:t>
      </w:r>
      <w:r>
        <w:rPr>
          <w:rFonts w:ascii="楷体_GB2312" w:hAnsi="仿宋" w:eastAsia="楷体_GB2312"/>
          <w:b/>
          <w:sz w:val="32"/>
          <w:szCs w:val="32"/>
        </w:rPr>
        <w:t xml:space="preserve"> </w:t>
      </w:r>
    </w:p>
    <w:p>
      <w:pPr>
        <w:ind w:firstLine="630"/>
        <w:rPr>
          <w:rFonts w:ascii="仿宋_GB2312" w:hAnsi="仿宋" w:eastAsia="仿宋_GB2312"/>
          <w:sz w:val="32"/>
          <w:szCs w:val="32"/>
        </w:rPr>
      </w:pPr>
      <w:r>
        <w:rPr>
          <w:rFonts w:ascii="仿宋_GB2312" w:hAnsi="仿宋" w:eastAsia="仿宋_GB2312"/>
          <w:sz w:val="32"/>
          <w:szCs w:val="32"/>
        </w:rPr>
        <w:t>2018</w:t>
      </w:r>
      <w:r>
        <w:rPr>
          <w:rFonts w:hint="eastAsia" w:ascii="仿宋_GB2312" w:hAnsi="仿宋" w:eastAsia="仿宋_GB2312"/>
          <w:sz w:val="32"/>
          <w:szCs w:val="32"/>
        </w:rPr>
        <w:t>年度我单位公务用车运行维护费</w:t>
      </w:r>
      <w:r>
        <w:rPr>
          <w:rFonts w:ascii="仿宋_GB2312" w:hAnsi="仿宋" w:eastAsia="仿宋_GB2312"/>
          <w:sz w:val="32"/>
          <w:szCs w:val="32"/>
        </w:rPr>
        <w:t>20000</w:t>
      </w:r>
      <w:r>
        <w:rPr>
          <w:rFonts w:hint="eastAsia" w:ascii="仿宋_GB2312" w:hAnsi="仿宋" w:eastAsia="仿宋_GB2312"/>
          <w:sz w:val="32"/>
          <w:szCs w:val="32"/>
        </w:rPr>
        <w:t>元，公务接待无。公务用车运行维护费与</w:t>
      </w:r>
      <w:r>
        <w:rPr>
          <w:rFonts w:ascii="仿宋_GB2312" w:hAnsi="仿宋" w:eastAsia="仿宋_GB2312"/>
          <w:sz w:val="32"/>
          <w:szCs w:val="32"/>
        </w:rPr>
        <w:t>2017</w:t>
      </w:r>
      <w:r>
        <w:rPr>
          <w:rFonts w:hint="eastAsia" w:ascii="仿宋_GB2312" w:hAnsi="仿宋" w:eastAsia="仿宋_GB2312"/>
          <w:sz w:val="32"/>
          <w:szCs w:val="32"/>
        </w:rPr>
        <w:t>年度相同。</w:t>
      </w:r>
    </w:p>
    <w:p>
      <w:pPr>
        <w:ind w:firstLine="630"/>
        <w:rPr>
          <w:rFonts w:ascii="楷体_GB2312" w:hAnsi="仿宋" w:eastAsia="楷体_GB2312"/>
          <w:b/>
          <w:sz w:val="32"/>
          <w:szCs w:val="32"/>
        </w:rPr>
      </w:pPr>
      <w:r>
        <w:rPr>
          <w:rFonts w:ascii="楷体_GB2312" w:hAnsi="宋体" w:eastAsia="楷体_GB2312"/>
          <w:b/>
          <w:color w:val="000000"/>
          <w:sz w:val="32"/>
          <w:szCs w:val="32"/>
        </w:rPr>
        <w:t>3</w:t>
      </w:r>
      <w:r>
        <w:rPr>
          <w:rFonts w:hint="eastAsia" w:ascii="楷体_GB2312" w:hAnsi="宋体" w:eastAsia="楷体_GB2312"/>
          <w:b/>
          <w:color w:val="000000"/>
          <w:sz w:val="32"/>
          <w:szCs w:val="32"/>
        </w:rPr>
        <w:t>、机关运行经费增减变动原因说明</w:t>
      </w:r>
    </w:p>
    <w:p>
      <w:pPr>
        <w:ind w:firstLine="640" w:firstLineChars="200"/>
        <w:rPr>
          <w:rFonts w:ascii="仿宋_GB2312" w:hAnsi="仿宋" w:eastAsia="仿宋_GB2312"/>
          <w:sz w:val="32"/>
          <w:szCs w:val="32"/>
        </w:rPr>
      </w:pPr>
      <w:r>
        <w:rPr>
          <w:rFonts w:ascii="仿宋_GB2312" w:hAnsi="仿宋" w:eastAsia="仿宋_GB2312"/>
          <w:sz w:val="32"/>
          <w:szCs w:val="32"/>
        </w:rPr>
        <w:t>2018</w:t>
      </w:r>
      <w:r>
        <w:rPr>
          <w:rFonts w:hint="eastAsia" w:ascii="仿宋_GB2312" w:hAnsi="仿宋" w:eastAsia="仿宋_GB2312"/>
          <w:sz w:val="32"/>
          <w:szCs w:val="32"/>
        </w:rPr>
        <w:t>年机关运行经费财政拨款预算</w:t>
      </w:r>
      <w:r>
        <w:rPr>
          <w:rFonts w:ascii="仿宋_GB2312" w:hAnsi="仿宋" w:eastAsia="仿宋_GB2312"/>
          <w:sz w:val="32"/>
          <w:szCs w:val="32"/>
        </w:rPr>
        <w:t>720000</w:t>
      </w:r>
      <w:r>
        <w:rPr>
          <w:rFonts w:hint="eastAsia" w:ascii="仿宋_GB2312" w:hAnsi="仿宋" w:eastAsia="仿宋_GB2312"/>
          <w:sz w:val="32"/>
          <w:szCs w:val="32"/>
        </w:rPr>
        <w:t>元，比</w:t>
      </w:r>
      <w:r>
        <w:rPr>
          <w:rFonts w:ascii="仿宋_GB2312" w:hAnsi="仿宋" w:eastAsia="仿宋_GB2312"/>
          <w:sz w:val="32"/>
          <w:szCs w:val="32"/>
        </w:rPr>
        <w:t>2017</w:t>
      </w:r>
      <w:r>
        <w:rPr>
          <w:rFonts w:hint="eastAsia" w:ascii="仿宋_GB2312" w:hAnsi="仿宋" w:eastAsia="仿宋_GB2312"/>
          <w:sz w:val="32"/>
          <w:szCs w:val="32"/>
        </w:rPr>
        <w:t>年预算增长</w:t>
      </w:r>
      <w:r>
        <w:rPr>
          <w:rFonts w:ascii="仿宋_GB2312" w:hAnsi="仿宋" w:eastAsia="仿宋_GB2312"/>
          <w:sz w:val="32"/>
          <w:szCs w:val="32"/>
        </w:rPr>
        <w:t>110000</w:t>
      </w:r>
      <w:r>
        <w:rPr>
          <w:rFonts w:hint="eastAsia" w:ascii="仿宋_GB2312" w:hAnsi="仿宋" w:eastAsia="仿宋_GB2312"/>
          <w:sz w:val="32"/>
          <w:szCs w:val="32"/>
        </w:rPr>
        <w:t>元，增长原因人员增加了。</w:t>
      </w:r>
    </w:p>
    <w:p>
      <w:pPr>
        <w:ind w:firstLine="643" w:firstLineChars="200"/>
        <w:rPr>
          <w:rFonts w:ascii="楷体_GB2312" w:hAnsi="仿宋" w:eastAsia="楷体_GB2312"/>
          <w:b/>
          <w:sz w:val="32"/>
          <w:szCs w:val="32"/>
        </w:rPr>
      </w:pPr>
      <w:r>
        <w:rPr>
          <w:rFonts w:ascii="楷体_GB2312" w:hAnsi="仿宋" w:eastAsia="楷体_GB2312"/>
          <w:b/>
          <w:sz w:val="32"/>
          <w:szCs w:val="32"/>
        </w:rPr>
        <w:t>4</w:t>
      </w:r>
      <w:r>
        <w:rPr>
          <w:rFonts w:hint="eastAsia" w:ascii="楷体_GB2312" w:hAnsi="仿宋" w:eastAsia="楷体_GB2312"/>
          <w:b/>
          <w:sz w:val="32"/>
          <w:szCs w:val="32"/>
        </w:rPr>
        <w:t>、其它说明</w:t>
      </w:r>
    </w:p>
    <w:p>
      <w:pPr>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1</w:t>
      </w:r>
      <w:r>
        <w:rPr>
          <w:rFonts w:hint="eastAsia" w:ascii="仿宋_GB2312" w:hAnsi="仿宋" w:eastAsia="仿宋_GB2312"/>
          <w:sz w:val="32"/>
          <w:szCs w:val="32"/>
        </w:rPr>
        <w:t>）政府采购情况：无</w:t>
      </w:r>
    </w:p>
    <w:p>
      <w:pPr>
        <w:ind w:firstLine="636"/>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w:t>
      </w:r>
      <w:r>
        <w:rPr>
          <w:rFonts w:ascii="仿宋_GB2312" w:hAnsi="仿宋" w:eastAsia="仿宋_GB2312" w:cs="宋体"/>
          <w:color w:val="222222"/>
          <w:spacing w:val="10"/>
          <w:kern w:val="0"/>
          <w:sz w:val="32"/>
          <w:szCs w:val="32"/>
        </w:rPr>
        <w:t>2</w:t>
      </w:r>
      <w:r>
        <w:rPr>
          <w:rFonts w:hint="eastAsia" w:ascii="仿宋_GB2312" w:hAnsi="仿宋" w:eastAsia="仿宋_GB2312" w:cs="宋体"/>
          <w:color w:val="222222"/>
          <w:spacing w:val="10"/>
          <w:kern w:val="0"/>
          <w:sz w:val="32"/>
          <w:szCs w:val="32"/>
        </w:rPr>
        <w:t>）政府购买服务指导性目录</w:t>
      </w:r>
    </w:p>
    <w:p>
      <w:pPr>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w:t>
      </w:r>
      <w:r>
        <w:rPr>
          <w:rFonts w:ascii="仿宋_GB2312" w:hAnsi="仿宋" w:eastAsia="仿宋_GB2312" w:cs="宋体"/>
          <w:color w:val="222222"/>
          <w:spacing w:val="10"/>
          <w:kern w:val="0"/>
          <w:sz w:val="32"/>
          <w:szCs w:val="32"/>
        </w:rPr>
        <w:t>3</w:t>
      </w:r>
      <w:r>
        <w:rPr>
          <w:rFonts w:hint="eastAsia" w:ascii="仿宋_GB2312" w:hAnsi="仿宋" w:eastAsia="仿宋_GB2312" w:cs="宋体"/>
          <w:color w:val="222222"/>
          <w:spacing w:val="10"/>
          <w:kern w:val="0"/>
          <w:sz w:val="32"/>
          <w:szCs w:val="32"/>
        </w:rPr>
        <w:t>）国有资产占用使用情况</w:t>
      </w:r>
    </w:p>
    <w:p>
      <w:pPr>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①车辆情况：公务用车</w:t>
      </w:r>
      <w:r>
        <w:rPr>
          <w:rFonts w:ascii="仿宋_GB2312" w:hAnsi="仿宋" w:eastAsia="仿宋_GB2312" w:cs="宋体"/>
          <w:color w:val="222222"/>
          <w:spacing w:val="10"/>
          <w:kern w:val="0"/>
          <w:sz w:val="32"/>
          <w:szCs w:val="32"/>
        </w:rPr>
        <w:t>1</w:t>
      </w:r>
      <w:r>
        <w:rPr>
          <w:rFonts w:hint="eastAsia" w:ascii="仿宋_GB2312" w:hAnsi="仿宋" w:eastAsia="仿宋_GB2312" w:cs="宋体"/>
          <w:color w:val="222222"/>
          <w:spacing w:val="10"/>
          <w:kern w:val="0"/>
          <w:sz w:val="32"/>
          <w:szCs w:val="32"/>
        </w:rPr>
        <w:t>辆</w:t>
      </w:r>
    </w:p>
    <w:p>
      <w:pPr>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②房屋情况：无</w:t>
      </w:r>
    </w:p>
    <w:p>
      <w:pPr>
        <w:ind w:firstLine="680" w:firstLineChars="200"/>
        <w:rPr>
          <w:rFonts w:ascii="仿宋_GB2312" w:hAnsi="仿宋" w:eastAsia="仿宋_GB2312" w:cs="宋体"/>
          <w:color w:val="222222"/>
          <w:spacing w:val="10"/>
          <w:kern w:val="0"/>
          <w:sz w:val="32"/>
          <w:szCs w:val="32"/>
        </w:rPr>
      </w:pPr>
      <w:r>
        <w:rPr>
          <w:rFonts w:hint="eastAsia" w:ascii="仿宋_GB2312" w:hAnsi="仿宋" w:eastAsia="仿宋_GB2312" w:cs="宋体"/>
          <w:color w:val="222222"/>
          <w:spacing w:val="10"/>
          <w:kern w:val="0"/>
          <w:sz w:val="32"/>
          <w:szCs w:val="32"/>
        </w:rPr>
        <w:t>③其他国有资产占有使用情况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4</w:t>
      </w:r>
      <w:r>
        <w:rPr>
          <w:rFonts w:hint="eastAsia" w:ascii="仿宋_GB2312" w:hAnsi="仿宋" w:eastAsia="仿宋_GB2312"/>
          <w:sz w:val="32"/>
          <w:szCs w:val="32"/>
        </w:rPr>
        <w:t>）绩效管理情况：无</w:t>
      </w:r>
    </w:p>
    <w:p>
      <w:pPr>
        <w:ind w:firstLine="640" w:firstLineChars="200"/>
        <w:rPr>
          <w:rFonts w:ascii="仿宋_GB2312" w:hAnsi="仿宋" w:eastAsia="仿宋_GB2312"/>
          <w:sz w:val="32"/>
          <w:szCs w:val="32"/>
        </w:rPr>
      </w:pPr>
      <w:r>
        <w:rPr>
          <w:rFonts w:hint="eastAsia" w:ascii="仿宋_GB2312" w:hAnsi="仿宋" w:eastAsia="仿宋_GB2312"/>
          <w:sz w:val="32"/>
          <w:szCs w:val="32"/>
        </w:rPr>
        <w:t>（</w:t>
      </w:r>
      <w:r>
        <w:rPr>
          <w:rFonts w:ascii="仿宋_GB2312" w:hAnsi="仿宋" w:eastAsia="仿宋_GB2312"/>
          <w:sz w:val="32"/>
          <w:szCs w:val="32"/>
        </w:rPr>
        <w:t>5</w:t>
      </w:r>
      <w:r>
        <w:rPr>
          <w:rFonts w:hint="eastAsia" w:ascii="仿宋_GB2312" w:hAnsi="仿宋" w:eastAsia="仿宋_GB2312"/>
          <w:sz w:val="32"/>
          <w:szCs w:val="32"/>
        </w:rPr>
        <w:t>）其他</w:t>
      </w:r>
    </w:p>
    <w:p>
      <w:pPr>
        <w:widowControl/>
        <w:shd w:val="clear" w:color="auto" w:fill="FFFFFF"/>
        <w:spacing w:line="404" w:lineRule="atLeast"/>
        <w:jc w:val="center"/>
        <w:rPr>
          <w:rFonts w:ascii="仿宋" w:hAnsi="仿宋" w:eastAsia="仿宋" w:cs="宋体"/>
          <w:b/>
          <w:bCs/>
          <w:color w:val="222222"/>
          <w:kern w:val="0"/>
          <w:sz w:val="30"/>
          <w:szCs w:val="30"/>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ascii="宋体" w:cs="宋体"/>
          <w:b/>
          <w:bCs/>
          <w:color w:val="222222"/>
          <w:kern w:val="0"/>
          <w:sz w:val="30"/>
          <w:szCs w:val="30"/>
        </w:rPr>
        <w:t>  </w:t>
      </w:r>
      <w:r>
        <w:rPr>
          <w:rFonts w:ascii="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rPr>
        <w:t>）基本支出：指为保障机构正常运转、完成日常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2</w:t>
      </w:r>
      <w:r>
        <w:rPr>
          <w:rFonts w:hint="eastAsia" w:ascii="仿宋" w:hAnsi="仿宋" w:eastAsia="仿宋" w:cs="宋体"/>
          <w:color w:val="222222"/>
          <w:spacing w:val="10"/>
          <w:kern w:val="0"/>
          <w:sz w:val="32"/>
          <w:szCs w:val="32"/>
        </w:rPr>
        <w:t>）项目支出：指在基本支出之外为完成特定行政任务和事业发展目标所发生的支出。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3</w:t>
      </w:r>
      <w:r>
        <w:rPr>
          <w:rFonts w:hint="eastAsia" w:ascii="仿宋" w:hAnsi="仿宋" w:eastAsia="仿宋" w:cs="宋体"/>
          <w:color w:val="222222"/>
          <w:spacing w:val="10"/>
          <w:kern w:val="0"/>
          <w:sz w:val="32"/>
          <w:szCs w:val="32"/>
        </w:rPr>
        <w:t>）“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w:t>
      </w:r>
      <w:r>
        <w:rPr>
          <w:rFonts w:ascii="仿宋" w:hAnsi="仿宋" w:eastAsia="仿宋" w:cs="宋体"/>
          <w:color w:val="222222"/>
          <w:spacing w:val="10"/>
          <w:kern w:val="0"/>
          <w:sz w:val="32"/>
          <w:szCs w:val="32"/>
        </w:rPr>
        <w:t>4</w:t>
      </w:r>
      <w:r>
        <w:rPr>
          <w:rFonts w:hint="eastAsia" w:ascii="仿宋" w:hAnsi="仿宋" w:eastAsia="仿宋" w:cs="宋体"/>
          <w:color w:val="222222"/>
          <w:spacing w:val="10"/>
          <w:kern w:val="0"/>
          <w:sz w:val="32"/>
          <w:szCs w:val="32"/>
        </w:rPr>
        <w:t>）机关运行经费：指行政单位和参照公务员法管理的事业单位使用一般公共预算安排的基本支出中的日常公用经费支出。</w:t>
      </w:r>
    </w:p>
    <w:p>
      <w:pPr>
        <w:pStyle w:val="2"/>
        <w:widowControl/>
        <w:spacing w:beforeAutospacing="0" w:afterAutospacing="0"/>
        <w:ind w:firstLine="683" w:firstLineChars="200"/>
        <w:jc w:val="both"/>
        <w:rPr>
          <w:rFonts w:ascii="仿宋" w:hAnsi="仿宋" w:eastAsia="仿宋" w:cs="仿宋"/>
          <w:b/>
          <w:bCs/>
          <w:color w:val="222222"/>
          <w:spacing w:val="1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18969BF"/>
    <w:rsid w:val="0009409C"/>
    <w:rsid w:val="000C366B"/>
    <w:rsid w:val="00126CF2"/>
    <w:rsid w:val="002D34EF"/>
    <w:rsid w:val="00310D3C"/>
    <w:rsid w:val="00401CBD"/>
    <w:rsid w:val="00AB03B5"/>
    <w:rsid w:val="00AC537E"/>
    <w:rsid w:val="00D1498A"/>
    <w:rsid w:val="00EE258A"/>
    <w:rsid w:val="14B11D56"/>
    <w:rsid w:val="218969BF"/>
    <w:rsid w:val="61CE0006"/>
    <w:rsid w:val="7B9821F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3</Pages>
  <Words>177</Words>
  <Characters>1009</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2018-05-10T02:50:00Z</dcterms:created>
  <dc:creator>Administrator</dc:creator>
  <cp:lastModifiedBy>DELL</cp:lastModifiedBy>
  <cp:lastPrinted>2017-03-30T03:16:00Z</cp:lastPrinted>
  <dcterms:modified xsi:type="dcterms:W3CDTF">2018-05-10T03:01:12Z</dcterms:modified>
  <dc:title>永和县纪委、监委</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