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永和县财政局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widowControl/>
        <w:numPr>
          <w:ilvl w:val="0"/>
          <w:numId w:val="1"/>
        </w:numPr>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widowControl/>
        <w:spacing w:line="432" w:lineRule="auto"/>
        <w:ind w:firstLine="645"/>
        <w:rPr>
          <w:rFonts w:ascii="仿宋" w:hAnsi="仿宋" w:eastAsia="仿宋" w:cs="仿宋"/>
          <w:color w:val="222222"/>
          <w:sz w:val="32"/>
          <w:szCs w:val="32"/>
        </w:rPr>
      </w:pPr>
      <w:r>
        <w:rPr>
          <w:rFonts w:hint="eastAsia" w:ascii="仿宋" w:hAnsi="仿宋" w:eastAsia="仿宋" w:cs="仿宋"/>
          <w:color w:val="222222"/>
          <w:kern w:val="0"/>
          <w:sz w:val="32"/>
          <w:szCs w:val="32"/>
        </w:rPr>
        <w:t>（一）贯彻执行国家财政、税收、宏观经济等各项方针政策，参与拟定全县各项宏观经济政策，拟定和执行全县财政、税收的发展战略、方针政策、中长期规划、改革方案及其他有关政策，提出运用财税政策实施宏观调控和综合平衡社会财力的建议，拟定和执行国家与企业的分配政策。</w:t>
      </w:r>
    </w:p>
    <w:p>
      <w:pPr>
        <w:widowControl/>
        <w:spacing w:line="432" w:lineRule="auto"/>
        <w:ind w:firstLine="645"/>
        <w:rPr>
          <w:rFonts w:ascii="仿宋" w:hAnsi="仿宋" w:eastAsia="仿宋" w:cs="仿宋"/>
          <w:color w:val="222222"/>
          <w:sz w:val="32"/>
          <w:szCs w:val="32"/>
        </w:rPr>
      </w:pPr>
      <w:r>
        <w:rPr>
          <w:rFonts w:hint="eastAsia" w:ascii="仿宋" w:hAnsi="仿宋" w:eastAsia="仿宋" w:cs="仿宋"/>
          <w:color w:val="222222"/>
          <w:kern w:val="0"/>
          <w:sz w:val="32"/>
          <w:szCs w:val="32"/>
        </w:rPr>
        <w:t>（二）贯彻执行国家财政、财务、会计管理及行政事业单位国有资产管理的法律、法规、规章及各项方针政策，拟定全县财政、财务、会计管理及行政事业单位国有资产管理的地方性法规、规章草案和制度等。</w:t>
      </w:r>
    </w:p>
    <w:p>
      <w:pPr>
        <w:widowControl/>
        <w:spacing w:line="432" w:lineRule="auto"/>
        <w:ind w:firstLine="645"/>
        <w:rPr>
          <w:rFonts w:ascii="仿宋" w:hAnsi="仿宋" w:eastAsia="仿宋" w:cs="仿宋"/>
          <w:color w:val="222222"/>
          <w:sz w:val="32"/>
          <w:szCs w:val="32"/>
        </w:rPr>
      </w:pPr>
      <w:r>
        <w:rPr>
          <w:rFonts w:hint="eastAsia" w:ascii="仿宋" w:hAnsi="仿宋" w:eastAsia="仿宋" w:cs="仿宋"/>
          <w:color w:val="222222"/>
          <w:kern w:val="0"/>
          <w:sz w:val="32"/>
          <w:szCs w:val="32"/>
        </w:rPr>
        <w:t>（三）编制县本级年度预决算草案并组织执行。受县人民政府委托，向县人民代表大会报告全县和县级预算及其执行情况，向县人大常委会报告县本级决算。深化部门预算改革，组织制定经费开支标准、定额，负责审核批复部门（单位）的年度预决算。完善转移支付制度。</w:t>
      </w:r>
    </w:p>
    <w:p>
      <w:pPr>
        <w:widowControl/>
        <w:spacing w:line="432" w:lineRule="auto"/>
        <w:ind w:firstLine="645"/>
        <w:rPr>
          <w:rFonts w:ascii="仿宋" w:hAnsi="仿宋" w:eastAsia="仿宋" w:cs="仿宋"/>
          <w:color w:val="222222"/>
          <w:sz w:val="32"/>
          <w:szCs w:val="32"/>
        </w:rPr>
      </w:pPr>
      <w:r>
        <w:rPr>
          <w:rFonts w:hint="eastAsia" w:ascii="仿宋" w:hAnsi="仿宋" w:eastAsia="仿宋" w:cs="仿宋"/>
          <w:color w:val="222222"/>
          <w:kern w:val="0"/>
          <w:sz w:val="32"/>
          <w:szCs w:val="32"/>
        </w:rPr>
        <w:t>（四）负责政府非税收入管理，负责政府性基金管理及预算编制，按规定管理行政事业性收费。管理财政票据。拟定地方彩票管理制度及发行计划，管理彩票市场，按规定管理彩票资金。负责煤炭可持续发展基金的管理和监督检查。</w:t>
      </w:r>
    </w:p>
    <w:p>
      <w:pPr>
        <w:widowControl/>
        <w:spacing w:line="432" w:lineRule="auto"/>
        <w:ind w:firstLine="645"/>
        <w:rPr>
          <w:rFonts w:ascii="仿宋" w:hAnsi="仿宋" w:eastAsia="仿宋" w:cs="仿宋"/>
          <w:color w:val="222222"/>
          <w:sz w:val="32"/>
          <w:szCs w:val="32"/>
        </w:rPr>
      </w:pPr>
      <w:r>
        <w:rPr>
          <w:rFonts w:hint="eastAsia" w:ascii="仿宋" w:hAnsi="仿宋" w:eastAsia="仿宋" w:cs="仿宋"/>
          <w:color w:val="222222"/>
          <w:kern w:val="0"/>
          <w:sz w:val="32"/>
          <w:szCs w:val="32"/>
        </w:rPr>
        <w:t>（五）贯彻执行国库管理制度、国库集中收付制度，推行县级财政国库集中收付制度并进行监督管理，指导全县推行财政国库集中收付制度工作。负责审核和编制汇总全县财政总决算和部门决算。负责管理县本级财政银行账户和县级预算单位银行账户。制定地方国库现金管理工作。负责制定全县政府采购制度并监督管理，编制县级政府采购预算。</w:t>
      </w:r>
    </w:p>
    <w:p>
      <w:pPr>
        <w:widowControl/>
        <w:spacing w:line="432" w:lineRule="auto"/>
        <w:ind w:firstLine="645"/>
        <w:rPr>
          <w:rFonts w:ascii="仿宋" w:hAnsi="仿宋" w:eastAsia="仿宋" w:cs="仿宋"/>
          <w:color w:val="222222"/>
          <w:sz w:val="32"/>
          <w:szCs w:val="32"/>
        </w:rPr>
      </w:pPr>
      <w:r>
        <w:rPr>
          <w:rFonts w:hint="eastAsia" w:ascii="仿宋" w:hAnsi="仿宋" w:eastAsia="仿宋" w:cs="仿宋"/>
          <w:color w:val="222222"/>
          <w:kern w:val="0"/>
          <w:sz w:val="32"/>
          <w:szCs w:val="32"/>
        </w:rPr>
        <w:t>（六）提出地方税收立法建议，负责组织起草地方税收法规、规章草案及实施办法和税收政策调整方案。研究提出地方税收政策的调整建议。</w:t>
      </w:r>
    </w:p>
    <w:p>
      <w:pPr>
        <w:widowControl/>
        <w:spacing w:line="432" w:lineRule="auto"/>
        <w:ind w:firstLine="645"/>
        <w:rPr>
          <w:rFonts w:ascii="仿宋" w:hAnsi="仿宋" w:eastAsia="仿宋" w:cs="仿宋"/>
          <w:color w:val="222222"/>
          <w:sz w:val="32"/>
          <w:szCs w:val="32"/>
        </w:rPr>
      </w:pPr>
      <w:r>
        <w:rPr>
          <w:rFonts w:hint="eastAsia" w:ascii="仿宋" w:hAnsi="仿宋" w:eastAsia="仿宋" w:cs="仿宋"/>
          <w:color w:val="222222"/>
          <w:kern w:val="0"/>
          <w:sz w:val="32"/>
          <w:szCs w:val="32"/>
        </w:rPr>
        <w:t>（七）拟定并组织实施全县行政事业单位国有资产及其收益管理的规章制度，建立行政事业单位国有资产配置、整合、调剂、共享、共用机制，负责管理县级行政事业单位国有资产及其收益，审核批复县级行政事业单位国有资产配置、处置、产权界定等事项。</w:t>
      </w:r>
    </w:p>
    <w:p>
      <w:pPr>
        <w:widowControl/>
        <w:spacing w:line="432" w:lineRule="auto"/>
        <w:ind w:firstLine="645"/>
        <w:rPr>
          <w:rFonts w:ascii="仿宋" w:hAnsi="仿宋" w:eastAsia="仿宋" w:cs="仿宋"/>
          <w:color w:val="222222"/>
          <w:sz w:val="32"/>
          <w:szCs w:val="32"/>
        </w:rPr>
      </w:pPr>
      <w:r>
        <w:rPr>
          <w:rFonts w:hint="eastAsia" w:ascii="仿宋" w:hAnsi="仿宋" w:eastAsia="仿宋" w:cs="仿宋"/>
          <w:color w:val="222222"/>
          <w:kern w:val="0"/>
          <w:sz w:val="32"/>
          <w:szCs w:val="32"/>
        </w:rPr>
        <w:t>（八）制定全县国有资本经营预算的制度和办法，负责审核和汇总编制国有资本经营预决算草案，收取县级企业国有资本收益，制定并组织实施企业财务制度，管理县属地方金融类企业国有资产，参与拟定企业国有资产管理相关制度，按规定管理资产评估工作。</w:t>
      </w:r>
    </w:p>
    <w:p>
      <w:pPr>
        <w:widowControl/>
        <w:spacing w:line="432" w:lineRule="auto"/>
        <w:ind w:firstLine="645"/>
        <w:rPr>
          <w:rFonts w:ascii="仿宋" w:hAnsi="仿宋" w:eastAsia="仿宋" w:cs="仿宋"/>
          <w:color w:val="222222"/>
          <w:sz w:val="32"/>
          <w:szCs w:val="32"/>
        </w:rPr>
      </w:pPr>
      <w:r>
        <w:rPr>
          <w:rFonts w:hint="eastAsia" w:ascii="仿宋" w:hAnsi="仿宋" w:eastAsia="仿宋" w:cs="仿宋"/>
          <w:color w:val="222222"/>
          <w:kern w:val="0"/>
          <w:sz w:val="32"/>
          <w:szCs w:val="32"/>
        </w:rPr>
        <w:t>（九）负责办理和监督县级财政的经济发展支出、县级政府性投资项目的财政拨款，参与拟定全县建设投资的有关政策，拟定基本建设财务制度，负责有关政策性补贴和专项储备资金财政管理工作。负责全县农业综合开发管理工作，指导和推动全县农村综合改革工作。</w:t>
      </w:r>
    </w:p>
    <w:p>
      <w:pPr>
        <w:widowControl/>
        <w:spacing w:line="432" w:lineRule="auto"/>
        <w:ind w:firstLine="645"/>
        <w:rPr>
          <w:rFonts w:ascii="仿宋" w:hAnsi="仿宋" w:eastAsia="仿宋" w:cs="仿宋"/>
          <w:color w:val="222222"/>
          <w:sz w:val="32"/>
          <w:szCs w:val="32"/>
        </w:rPr>
      </w:pPr>
      <w:r>
        <w:rPr>
          <w:rFonts w:hint="eastAsia" w:ascii="仿宋" w:hAnsi="仿宋" w:eastAsia="仿宋" w:cs="仿宋"/>
          <w:color w:val="222222"/>
          <w:kern w:val="0"/>
          <w:sz w:val="32"/>
          <w:szCs w:val="32"/>
        </w:rPr>
        <w:t>（十）会同有关部门管理县级财政社会保障和就业及医疗卫生支出，会同有关部门管理县级财政社会保障资金（基金）的财务管理制度，编制县本级社会保障预决算草案。</w:t>
      </w:r>
    </w:p>
    <w:p>
      <w:pPr>
        <w:widowControl/>
        <w:spacing w:line="432" w:lineRule="auto"/>
        <w:ind w:firstLine="645"/>
        <w:rPr>
          <w:rFonts w:ascii="仿宋" w:hAnsi="仿宋" w:eastAsia="仿宋" w:cs="仿宋"/>
          <w:color w:val="222222"/>
          <w:sz w:val="32"/>
          <w:szCs w:val="32"/>
        </w:rPr>
      </w:pPr>
      <w:r>
        <w:rPr>
          <w:rFonts w:hint="eastAsia" w:ascii="仿宋" w:hAnsi="仿宋" w:eastAsia="仿宋" w:cs="仿宋"/>
          <w:color w:val="222222"/>
          <w:kern w:val="0"/>
          <w:sz w:val="32"/>
          <w:szCs w:val="32"/>
        </w:rPr>
        <w:t>（十一）贯彻执行国家关于国内债务和政府外债管理的各项方针政策、规章制度和管理办法，负责地方政府内债会计核算工作。</w:t>
      </w:r>
    </w:p>
    <w:p>
      <w:pPr>
        <w:widowControl/>
        <w:spacing w:line="432" w:lineRule="auto"/>
        <w:ind w:firstLine="645"/>
        <w:rPr>
          <w:rFonts w:ascii="仿宋" w:hAnsi="仿宋" w:eastAsia="仿宋" w:cs="仿宋"/>
          <w:color w:val="222222"/>
          <w:sz w:val="32"/>
          <w:szCs w:val="32"/>
        </w:rPr>
      </w:pPr>
      <w:r>
        <w:rPr>
          <w:rFonts w:hint="eastAsia" w:ascii="仿宋" w:hAnsi="仿宋" w:eastAsia="仿宋" w:cs="仿宋"/>
          <w:color w:val="222222"/>
          <w:kern w:val="0"/>
          <w:sz w:val="32"/>
          <w:szCs w:val="32"/>
        </w:rPr>
        <w:t>负责管理外国政府贷（赠）款和全县利用国际金融组织贷（赠）款工作，参与相关对外谈判工作。</w:t>
      </w:r>
    </w:p>
    <w:p>
      <w:pPr>
        <w:widowControl/>
        <w:spacing w:line="432" w:lineRule="auto"/>
        <w:ind w:firstLine="645"/>
        <w:rPr>
          <w:rFonts w:ascii="仿宋" w:hAnsi="仿宋" w:eastAsia="仿宋" w:cs="仿宋"/>
          <w:color w:val="222222"/>
          <w:sz w:val="32"/>
          <w:szCs w:val="32"/>
        </w:rPr>
      </w:pPr>
      <w:r>
        <w:rPr>
          <w:rFonts w:hint="eastAsia" w:ascii="仿宋" w:hAnsi="仿宋" w:eastAsia="仿宋" w:cs="仿宋"/>
          <w:color w:val="222222"/>
          <w:kern w:val="0"/>
          <w:sz w:val="32"/>
          <w:szCs w:val="32"/>
        </w:rPr>
        <w:t>（十二）负责管理全县的会计工作，监督和规范会计行为，拟定全县会计管理工作的地方性法规、规章草案、制度及补充规定，负责全县会计专业技术资格管理，指导和监督全县注册会计师、注册资产评估师、会计师事务所和资产评估机构的业务，指导财产评估业务，指导和管理社会审计。</w:t>
      </w:r>
    </w:p>
    <w:p>
      <w:pPr>
        <w:widowControl/>
        <w:spacing w:line="432" w:lineRule="auto"/>
        <w:ind w:firstLine="645"/>
        <w:rPr>
          <w:rFonts w:ascii="仿宋" w:hAnsi="仿宋" w:eastAsia="仿宋" w:cs="仿宋"/>
          <w:color w:val="222222"/>
          <w:sz w:val="32"/>
          <w:szCs w:val="32"/>
        </w:rPr>
      </w:pPr>
      <w:r>
        <w:rPr>
          <w:rFonts w:hint="eastAsia" w:ascii="仿宋" w:hAnsi="仿宋" w:eastAsia="仿宋" w:cs="仿宋"/>
          <w:color w:val="222222"/>
          <w:kern w:val="0"/>
          <w:sz w:val="32"/>
          <w:szCs w:val="32"/>
        </w:rPr>
        <w:t>（十三）监督检查财税法规、政策的执行情况，反映财政收支管理中的重大问题。</w:t>
      </w:r>
    </w:p>
    <w:p>
      <w:pPr>
        <w:widowControl/>
        <w:spacing w:line="432" w:lineRule="auto"/>
        <w:ind w:firstLine="645"/>
        <w:rPr>
          <w:rFonts w:ascii="仿宋" w:hAnsi="仿宋" w:eastAsia="仿宋" w:cs="仿宋"/>
          <w:color w:val="222222"/>
          <w:sz w:val="32"/>
          <w:szCs w:val="32"/>
        </w:rPr>
      </w:pPr>
      <w:r>
        <w:rPr>
          <w:rFonts w:hint="eastAsia" w:ascii="仿宋" w:hAnsi="仿宋" w:eastAsia="仿宋" w:cs="仿宋"/>
          <w:color w:val="222222"/>
          <w:kern w:val="0"/>
          <w:sz w:val="32"/>
          <w:szCs w:val="32"/>
        </w:rPr>
        <w:t>（十四）制定全县财政科学研究和财政教育规划，组织全县财政人才培训，负责财政信息和财政宣传工作。</w:t>
      </w:r>
    </w:p>
    <w:p>
      <w:pPr>
        <w:widowControl/>
        <w:spacing w:line="432" w:lineRule="auto"/>
        <w:ind w:firstLine="645"/>
        <w:rPr>
          <w:rFonts w:ascii="仿宋" w:hAnsi="仿宋" w:eastAsia="仿宋" w:cs="仿宋"/>
          <w:color w:val="222222"/>
          <w:sz w:val="32"/>
          <w:szCs w:val="32"/>
        </w:rPr>
      </w:pPr>
      <w:r>
        <w:rPr>
          <w:rFonts w:hint="eastAsia" w:ascii="仿宋" w:hAnsi="仿宋" w:eastAsia="仿宋" w:cs="仿宋"/>
          <w:color w:val="222222"/>
          <w:kern w:val="0"/>
          <w:sz w:val="32"/>
          <w:szCs w:val="32"/>
        </w:rPr>
        <w:t>（十五）承办县人民政府交办的其他事项。</w:t>
      </w:r>
    </w:p>
    <w:p>
      <w:pPr>
        <w:pStyle w:val="2"/>
        <w:widowControl/>
        <w:spacing w:after="150" w:line="450" w:lineRule="atLeast"/>
        <w:ind w:left="600" w:right="600"/>
        <w:rPr>
          <w:rFonts w:ascii="仿宋" w:hAnsi="仿宋" w:eastAsia="仿宋" w:cs="仿宋"/>
          <w:color w:val="000000"/>
          <w:sz w:val="30"/>
          <w:szCs w:val="30"/>
        </w:rPr>
      </w:pPr>
      <w:r>
        <w:rPr>
          <w:rFonts w:hint="eastAsia" w:ascii="仿宋" w:hAnsi="仿宋" w:eastAsia="仿宋" w:cs="宋体"/>
          <w:color w:val="222222"/>
          <w:sz w:val="30"/>
          <w:szCs w:val="30"/>
        </w:rPr>
        <w:t>2、</w:t>
      </w:r>
      <w:r>
        <w:rPr>
          <w:rFonts w:hint="eastAsia" w:ascii="仿宋" w:hAnsi="仿宋" w:eastAsia="仿宋" w:cs="宋体"/>
          <w:color w:val="222222"/>
          <w:spacing w:val="10"/>
          <w:sz w:val="32"/>
          <w:szCs w:val="32"/>
        </w:rPr>
        <w:t>部门预算单位构成：</w:t>
      </w:r>
      <w:r>
        <w:rPr>
          <w:rFonts w:hint="eastAsia" w:ascii="仿宋" w:hAnsi="仿宋" w:eastAsia="仿宋" w:cs="仿宋"/>
          <w:color w:val="000000"/>
          <w:sz w:val="30"/>
          <w:szCs w:val="30"/>
        </w:rPr>
        <w:t>永和县财政局部门预算只包括一个本级单位。</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财政局201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622.03</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年预算增加</w:t>
      </w:r>
      <w:r>
        <w:rPr>
          <w:rFonts w:hint="eastAsia" w:ascii="仿宋" w:hAnsi="仿宋" w:eastAsia="仿宋" w:cs="宋体"/>
          <w:color w:val="222222"/>
          <w:spacing w:val="10"/>
          <w:kern w:val="0"/>
          <w:sz w:val="32"/>
          <w:szCs w:val="32"/>
          <w:lang w:val="en-US" w:eastAsia="zh-CN"/>
        </w:rPr>
        <w:t>85</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主要</w:t>
      </w:r>
      <w:r>
        <w:rPr>
          <w:rFonts w:hint="eastAsia" w:ascii="仿宋" w:hAnsi="仿宋" w:eastAsia="仿宋" w:cs="宋体"/>
          <w:color w:val="222222"/>
          <w:spacing w:val="10"/>
          <w:kern w:val="0"/>
          <w:sz w:val="32"/>
          <w:szCs w:val="32"/>
        </w:rPr>
        <w:t>原因</w:t>
      </w:r>
      <w:r>
        <w:rPr>
          <w:rFonts w:hint="eastAsia" w:ascii="仿宋" w:hAnsi="仿宋" w:eastAsia="仿宋" w:cs="宋体"/>
          <w:color w:val="222222"/>
          <w:spacing w:val="10"/>
          <w:kern w:val="0"/>
          <w:sz w:val="32"/>
          <w:szCs w:val="32"/>
          <w:lang w:eastAsia="zh-CN"/>
        </w:rPr>
        <w:t>一</w:t>
      </w:r>
      <w:r>
        <w:rPr>
          <w:rFonts w:hint="eastAsia" w:ascii="仿宋" w:hAnsi="仿宋" w:eastAsia="仿宋" w:cs="宋体"/>
          <w:color w:val="222222"/>
          <w:spacing w:val="10"/>
          <w:kern w:val="0"/>
          <w:sz w:val="32"/>
          <w:szCs w:val="32"/>
        </w:rPr>
        <w:t>是</w:t>
      </w:r>
      <w:r>
        <w:rPr>
          <w:rFonts w:hint="eastAsia" w:ascii="仿宋" w:hAnsi="仿宋" w:eastAsia="仿宋" w:cs="宋体"/>
          <w:color w:val="222222"/>
          <w:spacing w:val="10"/>
          <w:kern w:val="0"/>
          <w:sz w:val="32"/>
          <w:szCs w:val="32"/>
          <w:lang w:eastAsia="zh-CN"/>
        </w:rPr>
        <w:t>县级重大项目和</w:t>
      </w:r>
      <w:r>
        <w:rPr>
          <w:rFonts w:hint="eastAsia" w:ascii="仿宋" w:hAnsi="仿宋" w:eastAsia="仿宋" w:cs="宋体"/>
          <w:color w:val="222222"/>
          <w:spacing w:val="10"/>
          <w:kern w:val="0"/>
          <w:sz w:val="32"/>
          <w:szCs w:val="32"/>
        </w:rPr>
        <w:t>精准扶贫</w:t>
      </w:r>
      <w:r>
        <w:rPr>
          <w:rFonts w:hint="eastAsia" w:ascii="仿宋" w:hAnsi="仿宋" w:eastAsia="仿宋" w:cs="宋体"/>
          <w:color w:val="222222"/>
          <w:spacing w:val="10"/>
          <w:kern w:val="0"/>
          <w:sz w:val="32"/>
          <w:szCs w:val="32"/>
          <w:lang w:eastAsia="zh-CN"/>
        </w:rPr>
        <w:t>方面项目加大了投入力度，</w:t>
      </w:r>
      <w:r>
        <w:rPr>
          <w:rFonts w:hint="eastAsia" w:ascii="仿宋" w:hAnsi="仿宋" w:eastAsia="仿宋" w:cs="宋体"/>
          <w:color w:val="222222"/>
          <w:spacing w:val="10"/>
          <w:kern w:val="0"/>
          <w:sz w:val="32"/>
          <w:szCs w:val="32"/>
        </w:rPr>
        <w:t>为了</w:t>
      </w:r>
      <w:r>
        <w:rPr>
          <w:rFonts w:hint="eastAsia" w:ascii="仿宋" w:hAnsi="仿宋" w:eastAsia="仿宋" w:cs="宋体"/>
          <w:color w:val="222222"/>
          <w:spacing w:val="10"/>
          <w:kern w:val="0"/>
          <w:sz w:val="32"/>
          <w:szCs w:val="32"/>
          <w:lang w:eastAsia="zh-CN"/>
        </w:rPr>
        <w:t>保障项目绩效评价和项目评审工作的顺利开展</w:t>
      </w:r>
      <w:r>
        <w:rPr>
          <w:rFonts w:hint="eastAsia" w:ascii="仿宋" w:hAnsi="仿宋" w:eastAsia="仿宋" w:cs="宋体"/>
          <w:color w:val="222222"/>
          <w:spacing w:val="10"/>
          <w:kern w:val="0"/>
          <w:sz w:val="32"/>
          <w:szCs w:val="32"/>
        </w:rPr>
        <w:t>，</w:t>
      </w:r>
      <w:r>
        <w:rPr>
          <w:rFonts w:hint="eastAsia" w:ascii="仿宋" w:hAnsi="仿宋" w:eastAsia="仿宋" w:cs="宋体"/>
          <w:color w:val="222222"/>
          <w:spacing w:val="10"/>
          <w:kern w:val="0"/>
          <w:sz w:val="32"/>
          <w:szCs w:val="32"/>
          <w:lang w:eastAsia="zh-CN"/>
        </w:rPr>
        <w:t>在资金绩效评价和投资评审费支出方面</w:t>
      </w:r>
      <w:r>
        <w:rPr>
          <w:rFonts w:hint="eastAsia" w:ascii="仿宋" w:hAnsi="仿宋" w:eastAsia="仿宋" w:cs="宋体"/>
          <w:color w:val="222222"/>
          <w:spacing w:val="10"/>
          <w:kern w:val="0"/>
          <w:sz w:val="32"/>
          <w:szCs w:val="32"/>
        </w:rPr>
        <w:t>增加了工作经费。</w:t>
      </w:r>
      <w:r>
        <w:rPr>
          <w:rFonts w:hint="eastAsia" w:ascii="仿宋" w:hAnsi="仿宋" w:eastAsia="仿宋" w:cs="宋体"/>
          <w:color w:val="222222"/>
          <w:spacing w:val="10"/>
          <w:kern w:val="0"/>
          <w:sz w:val="32"/>
          <w:szCs w:val="32"/>
          <w:lang w:eastAsia="zh-CN"/>
        </w:rPr>
        <w:t>二是新增了全县预算单位国库支付平台支付系统。</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2"/>
          <w:szCs w:val="32"/>
        </w:rPr>
        <w:t>2、</w:t>
      </w:r>
      <w:r>
        <w:rPr>
          <w:rFonts w:hint="eastAsia" w:ascii="仿宋" w:hAnsi="仿宋" w:eastAsia="仿宋" w:cs="宋体"/>
          <w:color w:val="222222"/>
          <w:spacing w:val="10"/>
          <w:kern w:val="0"/>
          <w:sz w:val="32"/>
          <w:szCs w:val="32"/>
        </w:rPr>
        <w:t>“三公”经费增减变动原因说明</w:t>
      </w:r>
    </w:p>
    <w:p>
      <w:pPr>
        <w:widowControl/>
        <w:spacing w:line="480" w:lineRule="auto"/>
        <w:ind w:firstLine="680" w:firstLineChars="200"/>
      </w:pPr>
      <w:r>
        <w:rPr>
          <w:rFonts w:hint="eastAsia" w:ascii="仿宋" w:hAnsi="仿宋" w:eastAsia="仿宋" w:cs="宋体"/>
          <w:color w:val="222222"/>
          <w:spacing w:val="10"/>
          <w:kern w:val="0"/>
          <w:sz w:val="32"/>
          <w:szCs w:val="32"/>
        </w:rPr>
        <w:t>我局201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w:t>
      </w:r>
      <w:r>
        <w:rPr>
          <w:rFonts w:hint="eastAsia" w:ascii="仿宋" w:hAnsi="仿宋" w:eastAsia="仿宋" w:cs="宋体"/>
          <w:color w:val="222222"/>
          <w:spacing w:val="10"/>
          <w:kern w:val="0"/>
          <w:sz w:val="32"/>
          <w:szCs w:val="32"/>
          <w:lang w:eastAsia="zh-CN"/>
        </w:rPr>
        <w:t>无</w:t>
      </w:r>
      <w:r>
        <w:rPr>
          <w:rFonts w:hint="eastAsia" w:ascii="仿宋" w:hAnsi="仿宋" w:eastAsia="仿宋" w:cs="宋体"/>
          <w:color w:val="222222"/>
          <w:spacing w:val="10"/>
          <w:kern w:val="0"/>
          <w:sz w:val="32"/>
          <w:szCs w:val="32"/>
        </w:rPr>
        <w:t>“三公”经费</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2"/>
          <w:szCs w:val="32"/>
        </w:rPr>
        <w:t>3、</w:t>
      </w:r>
      <w:r>
        <w:rPr>
          <w:rFonts w:hint="eastAsia" w:ascii="仿宋" w:hAnsi="仿宋" w:eastAsia="仿宋" w:cs="宋体"/>
          <w:color w:val="222222"/>
          <w:spacing w:val="10"/>
          <w:kern w:val="0"/>
          <w:sz w:val="32"/>
          <w:szCs w:val="32"/>
        </w:rPr>
        <w:t>机关运行经费增减变动原因说明</w:t>
      </w:r>
    </w:p>
    <w:p>
      <w:pPr>
        <w:autoSpaceDE w:val="0"/>
        <w:autoSpaceDN w:val="0"/>
        <w:adjustRightInd w:val="0"/>
        <w:ind w:firstLine="680" w:firstLineChars="2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我局201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年机关运行经费财政拨款预算</w:t>
      </w:r>
      <w:r>
        <w:rPr>
          <w:rFonts w:hint="eastAsia" w:ascii="仿宋" w:hAnsi="仿宋" w:eastAsia="仿宋" w:cs="宋体"/>
          <w:color w:val="222222"/>
          <w:spacing w:val="10"/>
          <w:kern w:val="0"/>
          <w:sz w:val="32"/>
          <w:szCs w:val="32"/>
          <w:lang w:val="en-US" w:eastAsia="zh-CN"/>
        </w:rPr>
        <w:t>30</w:t>
      </w:r>
      <w:r>
        <w:rPr>
          <w:rFonts w:hint="eastAsia" w:ascii="仿宋" w:hAnsi="仿宋" w:eastAsia="仿宋" w:cs="宋体"/>
          <w:color w:val="222222"/>
          <w:spacing w:val="10"/>
          <w:kern w:val="0"/>
          <w:sz w:val="32"/>
          <w:szCs w:val="32"/>
        </w:rPr>
        <w:t>万元，比201年预算</w:t>
      </w:r>
      <w:r>
        <w:rPr>
          <w:rFonts w:hint="eastAsia" w:ascii="仿宋" w:hAnsi="仿宋" w:eastAsia="仿宋" w:cs="宋体"/>
          <w:color w:val="222222"/>
          <w:spacing w:val="10"/>
          <w:kern w:val="0"/>
          <w:sz w:val="32"/>
          <w:szCs w:val="32"/>
          <w:lang w:eastAsia="zh-CN"/>
        </w:rPr>
        <w:t>增加</w:t>
      </w:r>
      <w:r>
        <w:rPr>
          <w:rFonts w:hint="eastAsia" w:ascii="仿宋" w:hAnsi="仿宋" w:eastAsia="仿宋" w:cs="宋体"/>
          <w:color w:val="222222"/>
          <w:spacing w:val="10"/>
          <w:kern w:val="0"/>
          <w:sz w:val="32"/>
          <w:szCs w:val="32"/>
          <w:lang w:val="en-US" w:eastAsia="zh-CN"/>
        </w:rPr>
        <w:t>19.6</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增加</w:t>
      </w:r>
      <w:r>
        <w:rPr>
          <w:rFonts w:hint="eastAsia" w:ascii="仿宋" w:hAnsi="仿宋" w:eastAsia="仿宋" w:cs="宋体"/>
          <w:color w:val="222222"/>
          <w:spacing w:val="10"/>
          <w:kern w:val="0"/>
          <w:sz w:val="32"/>
          <w:szCs w:val="32"/>
          <w:lang w:val="en-US" w:eastAsia="zh-CN"/>
        </w:rPr>
        <w:t>65.33</w:t>
      </w:r>
      <w:r>
        <w:rPr>
          <w:rFonts w:hint="eastAsia" w:ascii="仿宋" w:hAnsi="仿宋" w:eastAsia="仿宋" w:cs="宋体"/>
          <w:color w:val="222222"/>
          <w:spacing w:val="10"/>
          <w:kern w:val="0"/>
          <w:sz w:val="32"/>
          <w:szCs w:val="32"/>
        </w:rPr>
        <w:t>%,原因在日常公用经费支出方面</w:t>
      </w:r>
      <w:r>
        <w:rPr>
          <w:rFonts w:hint="eastAsia" w:ascii="仿宋" w:hAnsi="仿宋" w:eastAsia="仿宋" w:cs="宋体"/>
          <w:color w:val="222222"/>
          <w:spacing w:val="10"/>
          <w:kern w:val="0"/>
          <w:sz w:val="32"/>
          <w:szCs w:val="32"/>
          <w:lang w:eastAsia="zh-CN"/>
        </w:rPr>
        <w:t>增加了公益性岗位</w:t>
      </w:r>
      <w:r>
        <w:rPr>
          <w:rFonts w:hint="eastAsia" w:ascii="仿宋" w:hAnsi="仿宋" w:eastAsia="仿宋" w:cs="宋体"/>
          <w:color w:val="222222"/>
          <w:spacing w:val="10"/>
          <w:kern w:val="0"/>
          <w:sz w:val="32"/>
          <w:szCs w:val="32"/>
        </w:rPr>
        <w:t>人员</w:t>
      </w:r>
      <w:r>
        <w:rPr>
          <w:rFonts w:hint="eastAsia" w:ascii="仿宋" w:hAnsi="仿宋" w:eastAsia="仿宋" w:cs="宋体"/>
          <w:color w:val="222222"/>
          <w:spacing w:val="10"/>
          <w:kern w:val="0"/>
          <w:sz w:val="32"/>
          <w:szCs w:val="32"/>
          <w:lang w:eastAsia="zh-CN"/>
        </w:rPr>
        <w:t>工资及因正大路拓宽改造，原财政局旧址拆迁新增了房屋租赁费</w:t>
      </w:r>
      <w:r>
        <w:rPr>
          <w:rFonts w:hint="eastAsia" w:ascii="仿宋" w:hAnsi="仿宋" w:eastAsia="仿宋" w:cs="宋体"/>
          <w:color w:val="222222"/>
          <w:spacing w:val="10"/>
          <w:kern w:val="0"/>
          <w:sz w:val="32"/>
          <w:szCs w:val="32"/>
        </w:rPr>
        <w:t>。</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4、</w:t>
      </w:r>
      <w:r>
        <w:rPr>
          <w:rFonts w:hint="eastAsia" w:ascii="仿宋" w:hAnsi="仿宋" w:eastAsia="仿宋" w:cs="宋体"/>
          <w:color w:val="222222"/>
          <w:spacing w:val="10"/>
          <w:kern w:val="0"/>
          <w:sz w:val="32"/>
          <w:szCs w:val="32"/>
        </w:rPr>
        <w:t>其他说明</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w:t>
      </w:r>
      <w:r>
        <w:rPr>
          <w:rFonts w:hint="eastAsia" w:ascii="仿宋" w:hAnsi="仿宋" w:eastAsia="仿宋" w:cs="宋体"/>
          <w:color w:val="222222"/>
          <w:spacing w:val="10"/>
          <w:kern w:val="0"/>
          <w:sz w:val="32"/>
          <w:szCs w:val="32"/>
          <w:lang w:eastAsia="zh-CN"/>
        </w:rPr>
        <w:t>无</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r>
        <w:rPr>
          <w:rFonts w:hint="eastAsia" w:ascii="仿宋" w:hAnsi="仿宋" w:eastAsia="仿宋" w:cs="宋体"/>
          <w:color w:val="222222"/>
          <w:spacing w:val="10"/>
          <w:kern w:val="0"/>
          <w:sz w:val="32"/>
          <w:szCs w:val="32"/>
          <w:lang w:eastAsia="zh-CN"/>
        </w:rPr>
        <w:t>无</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bookmarkStart w:id="0" w:name="_GoBack"/>
      <w:bookmarkEnd w:id="0"/>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（4）绩效管理情况</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lang w:val="en-US" w:eastAsia="zh-CN"/>
        </w:rPr>
        <w:t>无</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（5）其他</w:t>
      </w:r>
    </w:p>
    <w:p>
      <w:pPr>
        <w:ind w:firstLine="636"/>
        <w:rPr>
          <w:rFonts w:hint="eastAsia" w:ascii="仿宋" w:hAnsi="仿宋" w:eastAsia="仿宋" w:cs="宋体"/>
          <w:color w:val="222222"/>
          <w:spacing w:val="10"/>
          <w:kern w:val="0"/>
          <w:sz w:val="32"/>
          <w:szCs w:val="32"/>
        </w:rPr>
      </w:pPr>
    </w:p>
    <w:p>
      <w:pPr>
        <w:ind w:firstLine="636"/>
        <w:rPr>
          <w:rFonts w:hint="eastAsia" w:ascii="仿宋" w:hAnsi="仿宋" w:eastAsia="仿宋" w:cs="宋体"/>
          <w:color w:val="222222"/>
          <w:spacing w:val="10"/>
          <w:kern w:val="0"/>
          <w:sz w:val="32"/>
          <w:szCs w:val="32"/>
        </w:rPr>
      </w:pP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B092C"/>
    <w:multiLevelType w:val="singleLevel"/>
    <w:tmpl w:val="58DB092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21EF"/>
    <w:rsid w:val="00120137"/>
    <w:rsid w:val="00161795"/>
    <w:rsid w:val="001663F1"/>
    <w:rsid w:val="004121EF"/>
    <w:rsid w:val="00546EDA"/>
    <w:rsid w:val="005A4A16"/>
    <w:rsid w:val="005A5006"/>
    <w:rsid w:val="006762C7"/>
    <w:rsid w:val="00727D35"/>
    <w:rsid w:val="007937DA"/>
    <w:rsid w:val="00FC5F55"/>
    <w:rsid w:val="01B04CFF"/>
    <w:rsid w:val="01E82AD4"/>
    <w:rsid w:val="07945560"/>
    <w:rsid w:val="141D7885"/>
    <w:rsid w:val="19592475"/>
    <w:rsid w:val="24630EC1"/>
    <w:rsid w:val="28654C3B"/>
    <w:rsid w:val="2E6E2D55"/>
    <w:rsid w:val="3C7F4015"/>
    <w:rsid w:val="402A6E42"/>
    <w:rsid w:val="59F512E3"/>
    <w:rsid w:val="5F90139B"/>
    <w:rsid w:val="60A952A4"/>
    <w:rsid w:val="75E679A9"/>
    <w:rsid w:val="78FE0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rPr>
      <w:rFonts w:cs="Times New Roman"/>
      <w:kern w:val="0"/>
      <w:sz w:val="24"/>
    </w:rPr>
  </w:style>
  <w:style w:type="character" w:styleId="4">
    <w:name w:val="FollowedHyperlink"/>
    <w:basedOn w:val="3"/>
    <w:unhideWhenUsed/>
    <w:qFormat/>
    <w:uiPriority w:val="99"/>
    <w:rPr>
      <w:color w:val="222222"/>
      <w:u w:val="none"/>
    </w:rPr>
  </w:style>
  <w:style w:type="character" w:styleId="5">
    <w:name w:val="Hyperlink"/>
    <w:basedOn w:val="3"/>
    <w:unhideWhenUsed/>
    <w:qFormat/>
    <w:uiPriority w:val="99"/>
    <w:rPr>
      <w:color w:val="222222"/>
      <w:u w:val="none"/>
    </w:rPr>
  </w:style>
  <w:style w:type="character" w:customStyle="1" w:styleId="7">
    <w:name w:val="apple-converted-space"/>
    <w:basedOn w:val="3"/>
    <w:qFormat/>
    <w:uiPriority w:val="0"/>
  </w:style>
  <w:style w:type="paragraph" w:customStyle="1" w:styleId="8">
    <w:name w:val="列出段落1"/>
    <w:basedOn w:val="1"/>
    <w:qFormat/>
    <w:uiPriority w:val="34"/>
    <w:pPr>
      <w:ind w:firstLine="420" w:firstLineChars="200"/>
    </w:pPr>
  </w:style>
  <w:style w:type="character" w:customStyle="1" w:styleId="9">
    <w:name w:val="v"/>
    <w:basedOn w:val="3"/>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348</Words>
  <Characters>1989</Characters>
  <Lines>16</Lines>
  <Paragraphs>4</Paragraphs>
  <TotalTime>0</TotalTime>
  <ScaleCrop>false</ScaleCrop>
  <LinksUpToDate>false</LinksUpToDate>
  <CharactersWithSpaces>2333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2018-05-09T09:24:32Z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