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6"/>
          <w:szCs w:val="36"/>
        </w:rPr>
        <w:t>永和县非税收入征收局</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6"/>
          <w:szCs w:val="36"/>
        </w:rPr>
        <w:t>2018</w:t>
      </w:r>
      <w:r>
        <w:rPr>
          <w:rFonts w:hint="eastAsia" w:ascii="仿宋" w:hAnsi="仿宋" w:eastAsia="仿宋" w:cs="宋体"/>
          <w:b/>
          <w:bCs/>
          <w:color w:val="222222"/>
          <w:spacing w:val="10"/>
          <w:kern w:val="0"/>
          <w:sz w:val="36"/>
          <w:szCs w:val="36"/>
        </w:rPr>
        <w:t>年度部门预算算情况说明</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宋体" w:hAnsi="宋体" w:eastAsia="宋体" w:cs="宋体"/>
          <w:color w:val="222222"/>
          <w:kern w:val="0"/>
          <w:sz w:val="44"/>
          <w:szCs w:val="44"/>
        </w:rPr>
        <w:t> </w:t>
      </w:r>
    </w:p>
    <w:p>
      <w:pPr>
        <w:widowControl/>
        <w:shd w:val="clear" w:color="auto" w:fill="FFFFFF"/>
        <w:spacing w:line="404" w:lineRule="atLeast"/>
        <w:ind w:firstLine="562"/>
        <w:jc w:val="center"/>
        <w:rPr>
          <w:rFonts w:ascii="微软雅黑" w:hAnsi="微软雅黑" w:eastAsia="微软雅黑" w:cs="宋体"/>
          <w:color w:val="222222"/>
          <w:kern w:val="0"/>
          <w:sz w:val="22"/>
        </w:rPr>
      </w:pPr>
      <w:r>
        <w:rPr>
          <w:rFonts w:hint="eastAsia" w:ascii="宋体" w:hAnsi="宋体" w:eastAsia="宋体" w:cs="宋体"/>
          <w:b/>
          <w:bCs/>
          <w:color w:val="222222"/>
          <w:kern w:val="0"/>
          <w:sz w:val="28"/>
          <w:szCs w:val="28"/>
        </w:rPr>
        <w:t>第一部分 </w:t>
      </w:r>
      <w:r>
        <w:rPr>
          <w:rFonts w:hint="eastAsia" w:ascii="宋体" w:hAnsi="宋体" w:eastAsia="宋体" w:cs="宋体"/>
          <w:b/>
          <w:bCs/>
          <w:color w:val="222222"/>
          <w:kern w:val="0"/>
          <w:sz w:val="28"/>
        </w:rPr>
        <w:t> </w:t>
      </w:r>
      <w:r>
        <w:rPr>
          <w:rFonts w:hint="eastAsia" w:ascii="宋体" w:hAnsi="宋体" w:eastAsia="宋体" w:cs="宋体"/>
          <w:b/>
          <w:bCs/>
          <w:color w:val="222222"/>
          <w:kern w:val="0"/>
          <w:sz w:val="28"/>
          <w:szCs w:val="28"/>
        </w:rPr>
        <w:t>概况</w:t>
      </w:r>
    </w:p>
    <w:p>
      <w:pPr>
        <w:widowControl/>
        <w:shd w:val="clear" w:color="auto" w:fill="FFFFFF"/>
        <w:spacing w:line="404" w:lineRule="atLeast"/>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一、主要职能职责：</w:t>
      </w:r>
    </w:p>
    <w:p>
      <w:pPr>
        <w:widowControl/>
        <w:spacing w:line="600" w:lineRule="exact"/>
        <w:ind w:firstLine="600" w:firstLineChars="200"/>
        <w:jc w:val="left"/>
        <w:rPr>
          <w:rFonts w:ascii="仿宋_GB2312" w:hAnsi="微软雅黑" w:eastAsia="仿宋_GB2312" w:cs="仿宋_GB2312"/>
          <w:color w:val="222222"/>
          <w:sz w:val="30"/>
          <w:szCs w:val="30"/>
        </w:rPr>
      </w:pPr>
      <w:r>
        <w:rPr>
          <w:rFonts w:ascii="仿宋_GB2312" w:hAnsi="微软雅黑" w:eastAsia="仿宋_GB2312" w:cs="仿宋_GB2312"/>
          <w:color w:val="222222"/>
          <w:sz w:val="30"/>
          <w:szCs w:val="30"/>
        </w:rPr>
        <w:t>1、贯彻落实上级有关非税收入管理的法律、法规、规章和制度，研究制定我区非税收入征收管理的具体实施办法；负责区级行政事业性收费、政府性基金（附加）、罚没收入、国有资本经营收入、国有资产和国有资源收益、其他非税收入的征收管理。</w:t>
      </w:r>
    </w:p>
    <w:p>
      <w:pPr>
        <w:widowControl/>
        <w:spacing w:line="600" w:lineRule="exact"/>
        <w:ind w:firstLine="600" w:firstLineChars="200"/>
        <w:jc w:val="left"/>
        <w:rPr>
          <w:rFonts w:ascii="仿宋_GB2312" w:hAnsi="微软雅黑" w:eastAsia="仿宋_GB2312" w:cs="仿宋_GB2312"/>
          <w:color w:val="222222"/>
          <w:sz w:val="30"/>
          <w:szCs w:val="30"/>
        </w:rPr>
      </w:pPr>
      <w:r>
        <w:rPr>
          <w:rFonts w:ascii="仿宋_GB2312" w:hAnsi="微软雅黑" w:eastAsia="仿宋_GB2312" w:cs="仿宋_GB2312"/>
          <w:color w:val="222222"/>
          <w:sz w:val="30"/>
          <w:szCs w:val="30"/>
        </w:rPr>
        <w:t>2、组织、委托和督促各执收单位做好非税收入的征缴工作。</w:t>
      </w:r>
    </w:p>
    <w:p>
      <w:pPr>
        <w:widowControl/>
        <w:spacing w:line="600" w:lineRule="exact"/>
        <w:ind w:firstLine="600" w:firstLineChars="200"/>
        <w:jc w:val="left"/>
        <w:rPr>
          <w:rFonts w:ascii="仿宋_GB2312" w:hAnsi="微软雅黑" w:eastAsia="仿宋_GB2312" w:cs="仿宋_GB2312"/>
          <w:color w:val="222222"/>
          <w:sz w:val="30"/>
          <w:szCs w:val="30"/>
        </w:rPr>
      </w:pPr>
      <w:r>
        <w:rPr>
          <w:rFonts w:ascii="仿宋_GB2312" w:hAnsi="微软雅黑" w:eastAsia="仿宋_GB2312" w:cs="仿宋_GB2312"/>
          <w:color w:val="222222"/>
          <w:sz w:val="30"/>
          <w:szCs w:val="30"/>
        </w:rPr>
        <w:t>3、核定全区行政事业单位非税收入年度征收计划，组织非税收入计划的执行。</w:t>
      </w:r>
    </w:p>
    <w:p>
      <w:pPr>
        <w:widowControl/>
        <w:spacing w:line="600" w:lineRule="exact"/>
        <w:ind w:firstLine="600" w:firstLineChars="200"/>
        <w:jc w:val="left"/>
        <w:rPr>
          <w:rFonts w:ascii="仿宋_GB2312" w:hAnsi="微软雅黑" w:eastAsia="仿宋_GB2312" w:cs="仿宋_GB2312"/>
          <w:color w:val="222222"/>
          <w:sz w:val="30"/>
          <w:szCs w:val="30"/>
        </w:rPr>
      </w:pPr>
      <w:r>
        <w:rPr>
          <w:rFonts w:ascii="仿宋_GB2312" w:hAnsi="微软雅黑" w:eastAsia="仿宋_GB2312" w:cs="仿宋_GB2312"/>
          <w:color w:val="222222"/>
          <w:sz w:val="30"/>
          <w:szCs w:val="30"/>
        </w:rPr>
        <w:t>4、负责全区非税收入征收管理工作及统计、分析、报表报送工作。</w:t>
      </w:r>
    </w:p>
    <w:p>
      <w:pPr>
        <w:widowControl/>
        <w:spacing w:line="600" w:lineRule="exact"/>
        <w:ind w:firstLine="600" w:firstLineChars="200"/>
        <w:jc w:val="left"/>
        <w:rPr>
          <w:rFonts w:ascii="仿宋_GB2312" w:hAnsi="微软雅黑" w:eastAsia="仿宋_GB2312" w:cs="仿宋_GB2312"/>
          <w:color w:val="222222"/>
          <w:sz w:val="30"/>
          <w:szCs w:val="30"/>
        </w:rPr>
      </w:pPr>
      <w:r>
        <w:rPr>
          <w:rFonts w:ascii="仿宋_GB2312" w:hAnsi="微软雅黑" w:eastAsia="仿宋_GB2312" w:cs="仿宋_GB2312"/>
          <w:color w:val="222222"/>
          <w:sz w:val="30"/>
          <w:szCs w:val="30"/>
        </w:rPr>
        <w:t>5、负责非税收入的核算与统计和“非税收入汇缴结算户”资金的核对、清算与划解。拟定区本级非税收入统筹方案。</w:t>
      </w:r>
    </w:p>
    <w:p>
      <w:pPr>
        <w:widowControl/>
        <w:spacing w:line="600" w:lineRule="exact"/>
        <w:ind w:firstLine="600" w:firstLineChars="200"/>
        <w:jc w:val="left"/>
        <w:rPr>
          <w:rFonts w:ascii="仿宋_GB2312" w:hAnsi="微软雅黑" w:eastAsia="仿宋_GB2312" w:cs="仿宋_GB2312"/>
          <w:color w:val="222222"/>
          <w:sz w:val="30"/>
          <w:szCs w:val="30"/>
        </w:rPr>
      </w:pPr>
      <w:r>
        <w:rPr>
          <w:rFonts w:ascii="仿宋_GB2312" w:hAnsi="微软雅黑" w:eastAsia="仿宋_GB2312" w:cs="仿宋_GB2312"/>
          <w:color w:val="222222"/>
          <w:sz w:val="30"/>
          <w:szCs w:val="30"/>
        </w:rPr>
        <w:t>6、负责非税收入等所有财政票据的领发、保管、核销、检查等日常管理工作。</w:t>
      </w:r>
    </w:p>
    <w:p>
      <w:pPr>
        <w:widowControl/>
        <w:spacing w:line="600" w:lineRule="exact"/>
        <w:ind w:firstLine="600" w:firstLineChars="200"/>
        <w:jc w:val="left"/>
        <w:rPr>
          <w:rFonts w:ascii="仿宋_GB2312" w:hAnsi="微软雅黑" w:eastAsia="仿宋_GB2312" w:cs="仿宋_GB2312"/>
          <w:color w:val="222222"/>
          <w:sz w:val="30"/>
          <w:szCs w:val="30"/>
        </w:rPr>
      </w:pPr>
      <w:r>
        <w:rPr>
          <w:rFonts w:ascii="仿宋_GB2312" w:hAnsi="微软雅黑" w:eastAsia="仿宋_GB2312" w:cs="仿宋_GB2312"/>
          <w:color w:val="222222"/>
          <w:sz w:val="30"/>
          <w:szCs w:val="30"/>
        </w:rPr>
        <w:t>7、参与非税收入的清理整顿和已取消（或调整）的非税收入项目和标准的督查落实情况。</w:t>
      </w:r>
    </w:p>
    <w:p>
      <w:pPr>
        <w:widowControl/>
        <w:spacing w:line="600" w:lineRule="exact"/>
        <w:ind w:firstLine="600" w:firstLineChars="200"/>
        <w:jc w:val="left"/>
        <w:rPr>
          <w:rFonts w:ascii="仿宋_GB2312" w:hAnsi="微软雅黑" w:eastAsia="仿宋_GB2312" w:cs="仿宋_GB2312"/>
          <w:color w:val="222222"/>
          <w:sz w:val="30"/>
          <w:szCs w:val="30"/>
        </w:rPr>
      </w:pPr>
      <w:r>
        <w:rPr>
          <w:rFonts w:ascii="仿宋_GB2312" w:hAnsi="微软雅黑" w:eastAsia="仿宋_GB2312" w:cs="仿宋_GB2312"/>
          <w:color w:val="222222"/>
          <w:sz w:val="30"/>
          <w:szCs w:val="30"/>
        </w:rPr>
        <w:t>8、开展非税收入日常监督和专项稽查，依法查处各种违反非税收入征收管理和票据管理规定的行为。</w:t>
      </w:r>
    </w:p>
    <w:p>
      <w:pPr>
        <w:widowControl/>
        <w:spacing w:line="600" w:lineRule="exact"/>
        <w:ind w:firstLine="600" w:firstLineChars="200"/>
        <w:jc w:val="left"/>
        <w:rPr>
          <w:rFonts w:ascii="仿宋_GB2312" w:hAnsi="微软雅黑" w:eastAsia="仿宋_GB2312" w:cs="仿宋_GB2312"/>
          <w:color w:val="222222"/>
          <w:sz w:val="30"/>
          <w:szCs w:val="30"/>
        </w:rPr>
      </w:pPr>
      <w:r>
        <w:rPr>
          <w:rFonts w:ascii="仿宋_GB2312" w:hAnsi="微软雅黑" w:eastAsia="仿宋_GB2312" w:cs="仿宋_GB2312"/>
          <w:color w:val="222222"/>
          <w:sz w:val="30"/>
          <w:szCs w:val="30"/>
        </w:rPr>
        <w:t>9、负责非税收入征收管理系统的网络建设与维护，协调执收单位与银行有关网络方面的相关事宜。</w:t>
      </w:r>
    </w:p>
    <w:p>
      <w:pPr>
        <w:widowControl/>
        <w:spacing w:line="600" w:lineRule="exact"/>
        <w:ind w:left="640" w:hanging="640"/>
        <w:jc w:val="left"/>
        <w:rPr>
          <w:rFonts w:ascii="仿宋_GB2312" w:hAnsi="微软雅黑" w:eastAsia="仿宋_GB2312" w:cs="仿宋_GB2312"/>
          <w:color w:val="222222"/>
          <w:sz w:val="30"/>
          <w:szCs w:val="30"/>
        </w:rPr>
      </w:pPr>
      <w:r>
        <w:rPr>
          <w:rFonts w:ascii="仿宋_GB2312" w:hAnsi="微软雅黑" w:eastAsia="仿宋_GB2312" w:cs="仿宋_GB2312"/>
          <w:color w:val="222222"/>
          <w:sz w:val="30"/>
          <w:szCs w:val="30"/>
        </w:rPr>
        <w:t xml:space="preserve">   二、单位部门决算构成</w:t>
      </w:r>
    </w:p>
    <w:p>
      <w:pPr>
        <w:widowControl/>
        <w:spacing w:line="600" w:lineRule="exact"/>
        <w:ind w:left="640" w:hanging="640"/>
        <w:jc w:val="left"/>
        <w:rPr>
          <w:rFonts w:ascii="仿宋_GB2312" w:hAnsi="微软雅黑" w:eastAsia="仿宋_GB2312" w:cs="仿宋_GB2312"/>
          <w:color w:val="222222"/>
          <w:sz w:val="30"/>
          <w:szCs w:val="30"/>
        </w:rPr>
      </w:pPr>
      <w:r>
        <w:rPr>
          <w:rFonts w:ascii="仿宋_GB2312" w:hAnsi="微软雅黑" w:eastAsia="仿宋_GB2312" w:cs="仿宋_GB2312"/>
          <w:color w:val="222222"/>
          <w:sz w:val="30"/>
          <w:szCs w:val="30"/>
        </w:rPr>
        <w:t xml:space="preserve">    永和县非税收入征收局决算部门只包括一个本级单位。</w:t>
      </w: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第二部分</w:t>
      </w:r>
      <w:r>
        <w:rPr>
          <w:rFonts w:hint="eastAsia" w:ascii="宋体" w:hAnsi="宋体" w:eastAsia="宋体" w:cs="宋体"/>
          <w:b/>
          <w:bCs/>
          <w:color w:val="222222"/>
          <w:spacing w:val="10"/>
          <w:kern w:val="0"/>
          <w:sz w:val="32"/>
          <w:szCs w:val="32"/>
        </w:rPr>
        <w:t> </w:t>
      </w:r>
      <w:r>
        <w:rPr>
          <w:rFonts w:hint="eastAsia" w:ascii="宋体" w:hAnsi="宋体" w:eastAsia="宋体" w:cs="宋体"/>
          <w:b/>
          <w:bCs/>
          <w:color w:val="222222"/>
          <w:spacing w:val="10"/>
          <w:kern w:val="0"/>
          <w:sz w:val="32"/>
        </w:rPr>
        <w:t> </w:t>
      </w:r>
      <w:r>
        <w:rPr>
          <w:rFonts w:hint="eastAsia" w:ascii="仿宋" w:hAnsi="仿宋" w:eastAsia="仿宋" w:cs="宋体"/>
          <w:b/>
          <w:bCs/>
          <w:color w:val="222222"/>
          <w:spacing w:val="10"/>
          <w:kern w:val="0"/>
          <w:sz w:val="32"/>
          <w:szCs w:val="32"/>
        </w:rPr>
        <w:t>2018年度部门预算报表</w:t>
      </w:r>
    </w:p>
    <w:p>
      <w:pPr>
        <w:widowControl/>
        <w:spacing w:line="432" w:lineRule="auto"/>
        <w:rPr>
          <w:rFonts w:ascii="仿宋_GB2312" w:hAnsi="微软雅黑" w:eastAsia="仿宋_GB2312" w:cs="仿宋_GB2312"/>
          <w:b/>
          <w:color w:val="222222"/>
          <w:sz w:val="30"/>
          <w:szCs w:val="30"/>
        </w:rPr>
      </w:pPr>
      <w:r>
        <w:rPr>
          <w:rFonts w:ascii="仿宋_GB2312" w:hAnsi="微软雅黑" w:eastAsia="仿宋_GB2312" w:cs="仿宋_GB2312"/>
          <w:color w:val="222222"/>
          <w:sz w:val="30"/>
          <w:szCs w:val="30"/>
        </w:rPr>
        <w:t>此部分内容见附表</w:t>
      </w:r>
    </w:p>
    <w:p>
      <w:pPr>
        <w:autoSpaceDE w:val="0"/>
        <w:spacing w:line="432" w:lineRule="auto"/>
        <w:ind w:firstLine="683" w:firstLineChars="200"/>
        <w:rPr>
          <w:rFonts w:ascii="仿宋" w:hAnsi="仿宋" w:eastAsia="仿宋" w:cs="宋体"/>
          <w:b/>
          <w:bCs/>
          <w:color w:val="222222"/>
          <w:spacing w:val="10"/>
          <w:kern w:val="0"/>
          <w:sz w:val="32"/>
          <w:szCs w:val="32"/>
        </w:rPr>
      </w:pPr>
      <w:r>
        <w:rPr>
          <w:rFonts w:hint="eastAsia" w:ascii="仿宋" w:hAnsi="仿宋" w:eastAsia="仿宋" w:cs="宋体"/>
          <w:b/>
          <w:bCs/>
          <w:color w:val="222222"/>
          <w:spacing w:val="10"/>
          <w:kern w:val="0"/>
          <w:sz w:val="32"/>
          <w:szCs w:val="32"/>
        </w:rPr>
        <w:t>第三部分</w:t>
      </w:r>
      <w:r>
        <w:rPr>
          <w:rFonts w:hint="eastAsia" w:ascii="宋体" w:hAnsi="宋体" w:eastAsia="宋体" w:cs="宋体"/>
          <w:b/>
          <w:bCs/>
          <w:color w:val="222222"/>
          <w:spacing w:val="10"/>
          <w:kern w:val="0"/>
          <w:sz w:val="32"/>
        </w:rPr>
        <w:t> </w:t>
      </w:r>
      <w:r>
        <w:rPr>
          <w:rFonts w:hint="eastAsia" w:ascii="宋体" w:hAnsi="宋体" w:eastAsia="宋体" w:cs="宋体"/>
          <w:b/>
          <w:bCs/>
          <w:color w:val="222222"/>
          <w:spacing w:val="10"/>
          <w:kern w:val="0"/>
          <w:sz w:val="32"/>
          <w:szCs w:val="32"/>
        </w:rPr>
        <w:t> </w:t>
      </w:r>
      <w:r>
        <w:rPr>
          <w:rFonts w:hint="eastAsia" w:ascii="仿宋" w:hAnsi="仿宋" w:eastAsia="仿宋" w:cs="仿宋"/>
          <w:b/>
          <w:bCs/>
          <w:color w:val="222222"/>
          <w:spacing w:val="10"/>
          <w:kern w:val="0"/>
          <w:sz w:val="32"/>
          <w:szCs w:val="32"/>
        </w:rPr>
        <w:t>2018年</w:t>
      </w:r>
      <w:r>
        <w:rPr>
          <w:rFonts w:hint="eastAsia" w:ascii="仿宋" w:hAnsi="仿宋" w:eastAsia="仿宋" w:cs="宋体"/>
          <w:b/>
          <w:bCs/>
          <w:color w:val="222222"/>
          <w:spacing w:val="10"/>
          <w:kern w:val="0"/>
          <w:sz w:val="32"/>
          <w:szCs w:val="32"/>
        </w:rPr>
        <w:t>度部门预算情况说明</w:t>
      </w:r>
    </w:p>
    <w:p>
      <w:pPr>
        <w:autoSpaceDE w:val="0"/>
        <w:spacing w:line="432" w:lineRule="auto"/>
        <w:ind w:firstLine="600" w:firstLineChars="200"/>
        <w:rPr>
          <w:rFonts w:ascii="仿宋_GB2312" w:hAnsi="微软雅黑" w:eastAsia="仿宋_GB2312" w:cs="仿宋_GB2312"/>
          <w:color w:val="222222"/>
          <w:sz w:val="30"/>
          <w:szCs w:val="30"/>
        </w:rPr>
      </w:pPr>
      <w:r>
        <w:rPr>
          <w:rFonts w:ascii="仿宋_GB2312" w:hAnsi="微软雅黑" w:eastAsia="仿宋_GB2312" w:cs="仿宋_GB2312"/>
          <w:color w:val="222222"/>
          <w:sz w:val="30"/>
          <w:szCs w:val="30"/>
        </w:rPr>
        <w:t>一、部门基本情况</w:t>
      </w:r>
    </w:p>
    <w:p>
      <w:pPr>
        <w:autoSpaceDE w:val="0"/>
        <w:spacing w:line="432" w:lineRule="auto"/>
        <w:ind w:firstLine="600" w:firstLineChars="200"/>
        <w:rPr>
          <w:rFonts w:ascii="仿宋_GB2312" w:hAnsi="微软雅黑" w:eastAsia="仿宋_GB2312" w:cs="仿宋_GB2312"/>
          <w:color w:val="222222"/>
          <w:sz w:val="30"/>
          <w:szCs w:val="30"/>
        </w:rPr>
      </w:pPr>
      <w:r>
        <w:rPr>
          <w:rFonts w:ascii="仿宋_GB2312" w:hAnsi="微软雅黑" w:eastAsia="仿宋_GB2312" w:cs="仿宋_GB2312"/>
          <w:color w:val="222222"/>
          <w:sz w:val="30"/>
          <w:szCs w:val="30"/>
        </w:rPr>
        <w:t>机构、人员变化及原因</w:t>
      </w:r>
    </w:p>
    <w:p>
      <w:pPr>
        <w:autoSpaceDE w:val="0"/>
        <w:spacing w:line="432" w:lineRule="auto"/>
        <w:ind w:firstLine="600" w:firstLineChars="200"/>
        <w:rPr>
          <w:rFonts w:ascii="仿宋_GB2312" w:hAnsi="微软雅黑" w:eastAsia="仿宋_GB2312" w:cs="仿宋_GB2312"/>
          <w:color w:val="222222"/>
          <w:sz w:val="30"/>
          <w:szCs w:val="30"/>
        </w:rPr>
      </w:pPr>
      <w:r>
        <w:rPr>
          <w:rFonts w:ascii="仿宋_GB2312" w:hAnsi="微软雅黑" w:eastAsia="仿宋_GB2312" w:cs="仿宋_GB2312"/>
          <w:color w:val="222222"/>
          <w:sz w:val="30"/>
          <w:szCs w:val="30"/>
        </w:rPr>
        <w:t>1、机构情况及增减变动原因</w:t>
      </w:r>
    </w:p>
    <w:p>
      <w:pPr>
        <w:autoSpaceDE w:val="0"/>
        <w:spacing w:line="432" w:lineRule="auto"/>
        <w:ind w:firstLine="600" w:firstLineChars="200"/>
        <w:rPr>
          <w:rFonts w:ascii="仿宋_GB2312" w:hAnsi="微软雅黑" w:eastAsia="仿宋_GB2312" w:cs="仿宋_GB2312"/>
          <w:color w:val="222222"/>
          <w:sz w:val="30"/>
          <w:szCs w:val="30"/>
        </w:rPr>
      </w:pPr>
      <w:r>
        <w:rPr>
          <w:rFonts w:ascii="仿宋_GB2312" w:hAnsi="微软雅黑" w:eastAsia="仿宋_GB2312" w:cs="仿宋_GB2312"/>
          <w:color w:val="222222"/>
          <w:sz w:val="30"/>
          <w:szCs w:val="30"/>
        </w:rPr>
        <w:t>全</w:t>
      </w:r>
      <w:r>
        <w:rPr>
          <w:rFonts w:hint="eastAsia" w:ascii="仿宋_GB2312" w:hAnsi="微软雅黑" w:eastAsia="仿宋_GB2312" w:cs="仿宋_GB2312"/>
          <w:color w:val="222222"/>
          <w:sz w:val="30"/>
          <w:szCs w:val="30"/>
        </w:rPr>
        <w:t>局</w:t>
      </w:r>
      <w:r>
        <w:rPr>
          <w:rFonts w:ascii="仿宋_GB2312" w:hAnsi="微软雅黑" w:eastAsia="仿宋_GB2312" w:cs="仿宋_GB2312"/>
          <w:color w:val="222222"/>
          <w:sz w:val="30"/>
          <w:szCs w:val="30"/>
        </w:rPr>
        <w:t>共有独立编制机构  1 个。其中：事业机构  1 个，独立核算单位  1个，本年度参加决算单位1  个，较上年度没有增减。</w:t>
      </w:r>
    </w:p>
    <w:p>
      <w:pPr>
        <w:autoSpaceDE w:val="0"/>
        <w:spacing w:line="432" w:lineRule="auto"/>
        <w:ind w:firstLine="600" w:firstLineChars="200"/>
        <w:rPr>
          <w:rFonts w:ascii="仿宋_GB2312" w:hAnsi="微软雅黑" w:eastAsia="仿宋_GB2312" w:cs="仿宋_GB2312"/>
          <w:color w:val="222222"/>
          <w:sz w:val="30"/>
          <w:szCs w:val="30"/>
        </w:rPr>
      </w:pPr>
      <w:r>
        <w:rPr>
          <w:rFonts w:ascii="仿宋_GB2312" w:hAnsi="微软雅黑" w:eastAsia="仿宋_GB2312" w:cs="仿宋_GB2312"/>
          <w:color w:val="222222"/>
          <w:sz w:val="30"/>
          <w:szCs w:val="30"/>
        </w:rPr>
        <w:t>人员情况及增减变动原因</w:t>
      </w:r>
    </w:p>
    <w:p>
      <w:pPr>
        <w:autoSpaceDE w:val="0"/>
        <w:spacing w:line="432" w:lineRule="auto"/>
        <w:ind w:firstLine="600" w:firstLineChars="200"/>
        <w:rPr>
          <w:rFonts w:ascii="仿宋_GB2312" w:hAnsi="微软雅黑" w:eastAsia="仿宋_GB2312" w:cs="仿宋_GB2312"/>
          <w:color w:val="222222"/>
          <w:sz w:val="30"/>
          <w:szCs w:val="30"/>
        </w:rPr>
      </w:pPr>
      <w:r>
        <w:rPr>
          <w:rFonts w:ascii="仿宋_GB2312" w:hAnsi="微软雅黑" w:eastAsia="仿宋_GB2312" w:cs="仿宋_GB2312"/>
          <w:color w:val="222222"/>
          <w:sz w:val="30"/>
          <w:szCs w:val="30"/>
        </w:rPr>
        <w:t>（1）编制：全局现有1</w:t>
      </w:r>
      <w:r>
        <w:rPr>
          <w:rFonts w:hint="eastAsia" w:ascii="仿宋_GB2312" w:hAnsi="微软雅黑" w:eastAsia="仿宋_GB2312" w:cs="仿宋_GB2312"/>
          <w:color w:val="222222"/>
          <w:sz w:val="30"/>
          <w:szCs w:val="30"/>
        </w:rPr>
        <w:t>1</w:t>
      </w:r>
      <w:r>
        <w:rPr>
          <w:rFonts w:ascii="仿宋_GB2312" w:hAnsi="微软雅黑" w:eastAsia="仿宋_GB2312" w:cs="仿宋_GB2312"/>
          <w:color w:val="222222"/>
          <w:sz w:val="30"/>
          <w:szCs w:val="30"/>
        </w:rPr>
        <w:t>人，编制5人。行政编制2人，事业编制3人。</w:t>
      </w:r>
    </w:p>
    <w:p>
      <w:pPr>
        <w:autoSpaceDE w:val="0"/>
        <w:spacing w:line="432" w:lineRule="auto"/>
        <w:ind w:firstLine="600" w:firstLineChars="200"/>
        <w:rPr>
          <w:rFonts w:ascii="仿宋_GB2312" w:hAnsi="微软雅黑" w:eastAsia="仿宋_GB2312" w:cs="仿宋_GB2312"/>
          <w:color w:val="222222"/>
          <w:sz w:val="30"/>
          <w:szCs w:val="30"/>
        </w:rPr>
      </w:pPr>
      <w:r>
        <w:rPr>
          <w:rFonts w:ascii="仿宋_GB2312" w:hAnsi="微软雅黑" w:eastAsia="仿宋_GB2312" w:cs="仿宋_GB2312"/>
          <w:color w:val="222222"/>
          <w:sz w:val="30"/>
          <w:szCs w:val="30"/>
        </w:rPr>
        <w:t>（2）人员：全局现有人员1</w:t>
      </w:r>
      <w:r>
        <w:rPr>
          <w:rFonts w:hint="eastAsia" w:ascii="仿宋_GB2312" w:hAnsi="微软雅黑" w:eastAsia="仿宋_GB2312" w:cs="仿宋_GB2312"/>
          <w:color w:val="222222"/>
          <w:sz w:val="30"/>
          <w:szCs w:val="30"/>
        </w:rPr>
        <w:t>1</w:t>
      </w:r>
      <w:r>
        <w:rPr>
          <w:rFonts w:ascii="仿宋_GB2312" w:hAnsi="微软雅黑" w:eastAsia="仿宋_GB2312" w:cs="仿宋_GB2312"/>
          <w:color w:val="222222"/>
          <w:sz w:val="30"/>
          <w:szCs w:val="30"/>
        </w:rPr>
        <w:t>人。</w:t>
      </w:r>
    </w:p>
    <w:p>
      <w:pPr>
        <w:autoSpaceDE w:val="0"/>
        <w:spacing w:line="432" w:lineRule="auto"/>
        <w:ind w:firstLine="600" w:firstLineChars="200"/>
        <w:rPr>
          <w:rFonts w:ascii="仿宋_GB2312" w:hAnsi="微软雅黑" w:eastAsia="仿宋_GB2312" w:cs="仿宋_GB2312"/>
          <w:color w:val="222222"/>
          <w:sz w:val="30"/>
          <w:szCs w:val="30"/>
        </w:rPr>
      </w:pPr>
      <w:r>
        <w:rPr>
          <w:rFonts w:ascii="仿宋_GB2312" w:hAnsi="微软雅黑" w:eastAsia="仿宋_GB2312" w:cs="仿宋_GB2312"/>
          <w:color w:val="222222"/>
          <w:sz w:val="30"/>
          <w:szCs w:val="30"/>
        </w:rPr>
        <w:t>（3）财政供养人数1</w:t>
      </w:r>
      <w:r>
        <w:rPr>
          <w:rFonts w:hint="eastAsia" w:ascii="仿宋_GB2312" w:hAnsi="微软雅黑" w:eastAsia="仿宋_GB2312" w:cs="仿宋_GB2312"/>
          <w:color w:val="222222"/>
          <w:sz w:val="30"/>
          <w:szCs w:val="30"/>
        </w:rPr>
        <w:t>1</w:t>
      </w:r>
      <w:r>
        <w:rPr>
          <w:rFonts w:ascii="仿宋_GB2312" w:hAnsi="微软雅黑" w:eastAsia="仿宋_GB2312" w:cs="仿宋_GB2312"/>
          <w:color w:val="222222"/>
          <w:sz w:val="30"/>
          <w:szCs w:val="30"/>
        </w:rPr>
        <w:t>人。</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2、2018年度部门预算数据变动情况及原因</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我局2018年部门财政拨款预算66.98万元，与2017年预算减少13.92万元。</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3、</w:t>
      </w:r>
      <w:r>
        <w:rPr>
          <w:rFonts w:hint="eastAsia" w:ascii="仿宋" w:hAnsi="仿宋" w:eastAsia="仿宋" w:cs="宋体"/>
          <w:color w:val="222222"/>
          <w:spacing w:val="10"/>
          <w:kern w:val="0"/>
          <w:sz w:val="32"/>
          <w:szCs w:val="32"/>
        </w:rPr>
        <w:t>“三公”经费增减变动原因说明</w:t>
      </w:r>
    </w:p>
    <w:p>
      <w:pPr>
        <w:numPr>
          <w:ilvl w:val="0"/>
          <w:numId w:val="0"/>
        </w:numPr>
        <w:ind w:firstLine="680" w:firstLineChars="200"/>
        <w:rPr>
          <w:rFonts w:ascii="仿宋_GB2312" w:hAnsi="仿宋" w:eastAsia="仿宋_GB2312" w:cs="宋体"/>
          <w:color w:val="222222"/>
          <w:spacing w:val="10"/>
          <w:kern w:val="0"/>
          <w:sz w:val="32"/>
          <w:szCs w:val="32"/>
        </w:rPr>
      </w:pPr>
      <w:r>
        <w:rPr>
          <w:rFonts w:hint="eastAsia" w:ascii="仿宋" w:hAnsi="仿宋" w:eastAsia="仿宋" w:cs="宋体"/>
          <w:color w:val="222222"/>
          <w:spacing w:val="10"/>
          <w:kern w:val="0"/>
          <w:sz w:val="32"/>
          <w:szCs w:val="32"/>
        </w:rPr>
        <w:t>我局2018年“三公”经费财政拨款预算0万元，与2017年预算减少100%。</w:t>
      </w:r>
    </w:p>
    <w:p>
      <w:pPr>
        <w:numPr>
          <w:ilvl w:val="0"/>
          <w:numId w:val="0"/>
        </w:numPr>
        <w:ind w:firstLine="680" w:firstLineChars="200"/>
        <w:rPr>
          <w:rFonts w:hint="eastAsia" w:ascii="仿宋_GB2312" w:hAnsi="仿宋" w:eastAsia="仿宋_GB2312" w:cs="宋体"/>
          <w:color w:val="222222"/>
          <w:spacing w:val="10"/>
          <w:kern w:val="0"/>
          <w:sz w:val="32"/>
          <w:szCs w:val="32"/>
          <w:lang w:val="en-US" w:eastAsia="zh-CN"/>
        </w:rPr>
      </w:pPr>
      <w:r>
        <w:rPr>
          <w:rFonts w:hint="eastAsia" w:ascii="仿宋_GB2312" w:hAnsi="仿宋" w:eastAsia="仿宋_GB2312" w:cs="宋体"/>
          <w:color w:val="222222"/>
          <w:spacing w:val="10"/>
          <w:kern w:val="0"/>
          <w:sz w:val="32"/>
          <w:szCs w:val="32"/>
          <w:lang w:val="en-US" w:eastAsia="zh-CN"/>
        </w:rPr>
        <w:t>4、机关运行经费增减变动原因说明</w:t>
      </w:r>
    </w:p>
    <w:p>
      <w:pPr>
        <w:numPr>
          <w:ilvl w:val="0"/>
          <w:numId w:val="0"/>
        </w:numPr>
        <w:ind w:firstLine="680" w:firstLineChars="200"/>
        <w:rPr>
          <w:rFonts w:ascii="仿宋_GB2312" w:hAnsi="仿宋" w:eastAsia="仿宋_GB2312" w:cs="宋体"/>
          <w:color w:val="222222"/>
          <w:spacing w:val="10"/>
          <w:kern w:val="0"/>
          <w:sz w:val="32"/>
          <w:szCs w:val="32"/>
        </w:rPr>
      </w:pPr>
      <w:r>
        <w:rPr>
          <w:rFonts w:hint="eastAsia" w:ascii="仿宋_GB2312" w:hAnsi="仿宋" w:eastAsia="仿宋_GB2312" w:cs="宋体"/>
          <w:color w:val="222222"/>
          <w:spacing w:val="10"/>
          <w:kern w:val="0"/>
          <w:sz w:val="32"/>
          <w:szCs w:val="32"/>
        </w:rPr>
        <w:t>机关运行经费减少7万元。</w:t>
      </w:r>
    </w:p>
    <w:p>
      <w:pPr>
        <w:numPr>
          <w:ilvl w:val="0"/>
          <w:numId w:val="1"/>
        </w:numPr>
        <w:ind w:firstLine="680" w:firstLineChars="200"/>
        <w:rPr>
          <w:rFonts w:hint="eastAsia" w:ascii="宋体" w:hAnsi="宋体" w:eastAsia="宋体" w:cs="宋体"/>
          <w:color w:val="222222"/>
          <w:spacing w:val="10"/>
          <w:kern w:val="0"/>
          <w:sz w:val="32"/>
          <w:szCs w:val="32"/>
          <w:lang w:val="en-US" w:eastAsia="zh-CN"/>
        </w:rPr>
      </w:pPr>
      <w:r>
        <w:rPr>
          <w:rFonts w:hint="eastAsia" w:ascii="仿宋_GB2312" w:hAnsi="仿宋" w:eastAsia="仿宋_GB2312" w:cs="宋体"/>
          <w:color w:val="222222"/>
          <w:spacing w:val="10"/>
          <w:kern w:val="0"/>
          <w:sz w:val="32"/>
          <w:szCs w:val="32"/>
          <w:lang w:val="en-US" w:eastAsia="zh-CN"/>
        </w:rPr>
        <w:t>其他说明</w:t>
      </w:r>
    </w:p>
    <w:p>
      <w:pPr>
        <w:numPr>
          <w:ilvl w:val="0"/>
          <w:numId w:val="0"/>
        </w:numPr>
        <w:ind w:firstLine="680" w:firstLineChars="200"/>
        <w:rPr>
          <w:rFonts w:hint="eastAsia" w:ascii="仿宋_GB2312" w:hAnsi="仿宋" w:eastAsia="仿宋_GB2312" w:cs="宋体"/>
          <w:color w:val="222222"/>
          <w:spacing w:val="10"/>
          <w:kern w:val="0"/>
          <w:sz w:val="32"/>
          <w:szCs w:val="32"/>
        </w:rPr>
      </w:pPr>
      <w:r>
        <w:rPr>
          <w:rFonts w:hint="eastAsia" w:ascii="仿宋_GB2312" w:hAnsi="仿宋" w:eastAsia="仿宋_GB2312" w:cs="宋体"/>
          <w:color w:val="222222"/>
          <w:spacing w:val="10"/>
          <w:kern w:val="0"/>
          <w:sz w:val="32"/>
          <w:szCs w:val="32"/>
        </w:rPr>
        <w:t>（1）政府采购情况</w:t>
      </w:r>
    </w:p>
    <w:p>
      <w:pPr>
        <w:numPr>
          <w:ilvl w:val="0"/>
          <w:numId w:val="0"/>
        </w:numPr>
        <w:ind w:firstLine="680" w:firstLineChars="200"/>
        <w:rPr>
          <w:rFonts w:hint="eastAsia" w:ascii="仿宋_GB2312" w:hAnsi="仿宋" w:eastAsia="仿宋_GB2312" w:cs="宋体"/>
          <w:color w:val="222222"/>
          <w:spacing w:val="10"/>
          <w:kern w:val="0"/>
          <w:sz w:val="32"/>
          <w:szCs w:val="32"/>
          <w:lang w:eastAsia="zh-CN"/>
        </w:rPr>
      </w:pPr>
      <w:r>
        <w:rPr>
          <w:rFonts w:hint="eastAsia" w:ascii="仿宋_GB2312" w:hAnsi="仿宋" w:eastAsia="仿宋_GB2312" w:cs="宋体"/>
          <w:color w:val="222222"/>
          <w:spacing w:val="10"/>
          <w:kern w:val="0"/>
          <w:sz w:val="32"/>
          <w:szCs w:val="32"/>
          <w:lang w:eastAsia="zh-CN"/>
        </w:rPr>
        <w:t>无</w:t>
      </w:r>
    </w:p>
    <w:p>
      <w:pPr>
        <w:numPr>
          <w:ilvl w:val="0"/>
          <w:numId w:val="0"/>
        </w:numPr>
        <w:ind w:firstLine="680" w:firstLineChars="200"/>
        <w:rPr>
          <w:rFonts w:hint="eastAsia" w:ascii="仿宋_GB2312" w:hAnsi="仿宋" w:eastAsia="仿宋_GB2312" w:cs="宋体"/>
          <w:color w:val="222222"/>
          <w:spacing w:val="10"/>
          <w:kern w:val="0"/>
          <w:sz w:val="32"/>
          <w:szCs w:val="32"/>
        </w:rPr>
      </w:pPr>
      <w:r>
        <w:rPr>
          <w:rFonts w:hint="eastAsia" w:ascii="仿宋_GB2312" w:hAnsi="仿宋" w:eastAsia="仿宋_GB2312" w:cs="宋体"/>
          <w:color w:val="222222"/>
          <w:spacing w:val="10"/>
          <w:kern w:val="0"/>
          <w:sz w:val="32"/>
          <w:szCs w:val="32"/>
        </w:rPr>
        <w:t>（2）政府购买服务指导性目录</w:t>
      </w:r>
    </w:p>
    <w:p>
      <w:pPr>
        <w:numPr>
          <w:ilvl w:val="0"/>
          <w:numId w:val="0"/>
        </w:numPr>
        <w:ind w:firstLine="680" w:firstLineChars="200"/>
        <w:rPr>
          <w:rFonts w:hint="eastAsia" w:ascii="仿宋_GB2312" w:hAnsi="仿宋" w:eastAsia="仿宋_GB2312" w:cs="宋体"/>
          <w:color w:val="222222"/>
          <w:spacing w:val="10"/>
          <w:kern w:val="0"/>
          <w:sz w:val="32"/>
          <w:szCs w:val="32"/>
        </w:rPr>
      </w:pPr>
      <w:r>
        <w:rPr>
          <w:rFonts w:hint="eastAsia" w:ascii="仿宋_GB2312" w:hAnsi="仿宋" w:eastAsia="仿宋_GB2312" w:cs="宋体"/>
          <w:color w:val="222222"/>
          <w:spacing w:val="10"/>
          <w:kern w:val="0"/>
          <w:sz w:val="32"/>
          <w:szCs w:val="32"/>
        </w:rPr>
        <w:t>（3）国有资产占有使用情况</w:t>
      </w:r>
    </w:p>
    <w:p>
      <w:pPr>
        <w:numPr>
          <w:ilvl w:val="0"/>
          <w:numId w:val="0"/>
        </w:numPr>
        <w:ind w:firstLine="680" w:firstLineChars="200"/>
        <w:rPr>
          <w:rFonts w:hint="eastAsia" w:ascii="仿宋_GB2312" w:hAnsi="仿宋" w:eastAsia="仿宋_GB2312" w:cs="宋体"/>
          <w:color w:val="222222"/>
          <w:spacing w:val="10"/>
          <w:kern w:val="0"/>
          <w:sz w:val="32"/>
          <w:szCs w:val="32"/>
          <w:lang w:val="en-US" w:eastAsia="zh-CN"/>
        </w:rPr>
      </w:pPr>
      <w:r>
        <w:rPr>
          <w:rFonts w:hint="eastAsia" w:ascii="仿宋_GB2312" w:hAnsi="仿宋" w:eastAsia="仿宋_GB2312" w:cs="宋体"/>
          <w:color w:val="222222"/>
          <w:spacing w:val="10"/>
          <w:kern w:val="0"/>
          <w:sz w:val="32"/>
          <w:szCs w:val="32"/>
        </w:rPr>
        <w:t>1.车辆情况：</w:t>
      </w:r>
      <w:r>
        <w:rPr>
          <w:rFonts w:hint="eastAsia" w:ascii="仿宋_GB2312" w:hAnsi="仿宋" w:eastAsia="仿宋_GB2312" w:cs="宋体"/>
          <w:color w:val="222222"/>
          <w:spacing w:val="10"/>
          <w:kern w:val="0"/>
          <w:sz w:val="32"/>
          <w:szCs w:val="32"/>
          <w:lang w:val="en-US" w:eastAsia="zh-CN"/>
        </w:rPr>
        <w:t>无</w:t>
      </w:r>
    </w:p>
    <w:p>
      <w:pPr>
        <w:numPr>
          <w:ilvl w:val="0"/>
          <w:numId w:val="0"/>
        </w:numPr>
        <w:ind w:firstLine="680" w:firstLineChars="200"/>
        <w:rPr>
          <w:rFonts w:hint="eastAsia" w:ascii="仿宋_GB2312" w:hAnsi="仿宋" w:eastAsia="仿宋_GB2312" w:cs="宋体"/>
          <w:color w:val="222222"/>
          <w:spacing w:val="10"/>
          <w:kern w:val="0"/>
          <w:sz w:val="32"/>
          <w:szCs w:val="32"/>
          <w:lang w:val="en-US" w:eastAsia="zh-CN"/>
        </w:rPr>
      </w:pPr>
      <w:bookmarkStart w:id="0" w:name="_GoBack"/>
      <w:bookmarkEnd w:id="0"/>
      <w:r>
        <w:rPr>
          <w:rFonts w:hint="eastAsia" w:ascii="仿宋_GB2312" w:hAnsi="仿宋" w:eastAsia="仿宋_GB2312" w:cs="宋体"/>
          <w:color w:val="222222"/>
          <w:spacing w:val="10"/>
          <w:kern w:val="0"/>
          <w:sz w:val="32"/>
          <w:szCs w:val="32"/>
        </w:rPr>
        <w:t>2.房屋情况：</w:t>
      </w:r>
      <w:r>
        <w:rPr>
          <w:rFonts w:hint="eastAsia" w:ascii="仿宋_GB2312" w:hAnsi="仿宋" w:eastAsia="仿宋_GB2312" w:cs="宋体"/>
          <w:color w:val="222222"/>
          <w:spacing w:val="10"/>
          <w:kern w:val="0"/>
          <w:sz w:val="32"/>
          <w:szCs w:val="32"/>
          <w:lang w:val="en-US" w:eastAsia="zh-CN"/>
        </w:rPr>
        <w:t>无</w:t>
      </w:r>
    </w:p>
    <w:p>
      <w:pPr>
        <w:numPr>
          <w:ilvl w:val="0"/>
          <w:numId w:val="0"/>
        </w:numPr>
        <w:ind w:firstLine="680" w:firstLineChars="200"/>
        <w:rPr>
          <w:rFonts w:hint="eastAsia" w:ascii="仿宋_GB2312" w:hAnsi="仿宋" w:eastAsia="仿宋_GB2312" w:cs="宋体"/>
          <w:color w:val="222222"/>
          <w:spacing w:val="10"/>
          <w:kern w:val="0"/>
          <w:sz w:val="32"/>
          <w:szCs w:val="32"/>
        </w:rPr>
      </w:pPr>
      <w:r>
        <w:rPr>
          <w:rFonts w:hint="eastAsia" w:ascii="仿宋_GB2312" w:hAnsi="仿宋" w:eastAsia="仿宋_GB2312" w:cs="宋体"/>
          <w:color w:val="222222"/>
          <w:spacing w:val="10"/>
          <w:kern w:val="0"/>
          <w:sz w:val="32"/>
          <w:szCs w:val="32"/>
        </w:rPr>
        <w:t>3.其他国有资产占有使用情况。</w:t>
      </w:r>
    </w:p>
    <w:p>
      <w:pPr>
        <w:numPr>
          <w:ilvl w:val="0"/>
          <w:numId w:val="0"/>
        </w:numPr>
        <w:ind w:firstLine="680" w:firstLineChars="200"/>
        <w:rPr>
          <w:rFonts w:hint="eastAsia" w:ascii="仿宋_GB2312" w:hAnsi="仿宋" w:eastAsia="仿宋_GB2312" w:cs="宋体"/>
          <w:color w:val="222222"/>
          <w:spacing w:val="10"/>
          <w:kern w:val="0"/>
          <w:sz w:val="32"/>
          <w:szCs w:val="32"/>
        </w:rPr>
      </w:pPr>
      <w:r>
        <w:rPr>
          <w:rFonts w:hint="eastAsia" w:ascii="仿宋_GB2312" w:hAnsi="仿宋" w:eastAsia="仿宋_GB2312" w:cs="宋体"/>
          <w:color w:val="222222"/>
          <w:spacing w:val="10"/>
          <w:kern w:val="0"/>
          <w:sz w:val="32"/>
          <w:szCs w:val="32"/>
        </w:rPr>
        <w:t>（4）绩效管理情况</w:t>
      </w:r>
    </w:p>
    <w:p>
      <w:pPr>
        <w:numPr>
          <w:ilvl w:val="0"/>
          <w:numId w:val="0"/>
        </w:numPr>
        <w:ind w:firstLine="680" w:firstLineChars="200"/>
        <w:rPr>
          <w:rFonts w:hint="eastAsia" w:ascii="仿宋_GB2312" w:hAnsi="仿宋" w:eastAsia="仿宋_GB2312" w:cs="宋体"/>
          <w:color w:val="222222"/>
          <w:spacing w:val="10"/>
          <w:kern w:val="0"/>
          <w:sz w:val="32"/>
          <w:szCs w:val="32"/>
          <w:lang w:val="en-US" w:eastAsia="zh-CN"/>
        </w:rPr>
      </w:pPr>
      <w:r>
        <w:rPr>
          <w:rFonts w:hint="eastAsia" w:ascii="仿宋_GB2312" w:hAnsi="仿宋" w:eastAsia="仿宋_GB2312" w:cs="宋体"/>
          <w:color w:val="222222"/>
          <w:spacing w:val="10"/>
          <w:kern w:val="0"/>
          <w:sz w:val="32"/>
          <w:szCs w:val="32"/>
          <w:lang w:val="en-US" w:eastAsia="zh-CN"/>
        </w:rPr>
        <w:t xml:space="preserve">无 </w:t>
      </w:r>
    </w:p>
    <w:p>
      <w:pPr>
        <w:numPr>
          <w:ilvl w:val="0"/>
          <w:numId w:val="0"/>
        </w:numPr>
        <w:rPr>
          <w:rFonts w:hint="eastAsia" w:ascii="仿宋_GB2312" w:hAnsi="仿宋" w:eastAsia="仿宋_GB2312" w:cs="宋体"/>
          <w:color w:val="222222"/>
          <w:spacing w:val="10"/>
          <w:kern w:val="0"/>
          <w:sz w:val="32"/>
          <w:szCs w:val="32"/>
          <w:lang w:val="en-US" w:eastAsia="zh-CN"/>
        </w:rPr>
      </w:pP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0"/>
          <w:szCs w:val="30"/>
        </w:rPr>
        <w:t>第四部分</w:t>
      </w:r>
      <w:r>
        <w:rPr>
          <w:rFonts w:hint="eastAsia" w:ascii="宋体" w:hAnsi="宋体" w:eastAsia="宋体" w:cs="宋体"/>
          <w:b/>
          <w:bCs/>
          <w:color w:val="222222"/>
          <w:kern w:val="0"/>
          <w:sz w:val="30"/>
          <w:szCs w:val="30"/>
        </w:rPr>
        <w:t>  </w:t>
      </w:r>
      <w:r>
        <w:rPr>
          <w:rFonts w:hint="eastAsia" w:ascii="宋体" w:hAnsi="宋体" w:eastAsia="宋体" w:cs="宋体"/>
          <w:b/>
          <w:bCs/>
          <w:color w:val="222222"/>
          <w:kern w:val="0"/>
          <w:sz w:val="30"/>
        </w:rPr>
        <w:t> </w:t>
      </w:r>
      <w:r>
        <w:rPr>
          <w:rFonts w:hint="eastAsia" w:ascii="仿宋" w:hAnsi="仿宋" w:eastAsia="仿宋" w:cs="宋体"/>
          <w:b/>
          <w:bCs/>
          <w:color w:val="222222"/>
          <w:kern w:val="0"/>
          <w:sz w:val="30"/>
          <w:szCs w:val="30"/>
        </w:rPr>
        <w:t>名词解释</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（1）基本支出：指为保障机构正常运转、完成日常</w:t>
      </w:r>
    </w:p>
    <w:p>
      <w:pPr>
        <w:autoSpaceDE w:val="0"/>
        <w:autoSpaceDN w:val="0"/>
        <w:adjustRightInd w:val="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工作任务而发生的人员支出和公用支出。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pPr>
      <w:r>
        <w:rPr>
          <w:rFonts w:hint="eastAsia" w:ascii="仿宋" w:hAnsi="仿宋" w:eastAsia="仿宋" w:cs="宋体"/>
          <w:color w:val="222222"/>
          <w:spacing w:val="10"/>
          <w:kern w:val="0"/>
          <w:sz w:val="32"/>
          <w:szCs w:val="32"/>
        </w:rPr>
        <w:t>（4）机关运行经费：指行政单位和参照公务员法管理的事业单位使用一般公共预算安排的基本支出中的日常公用经费支出。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90589F8"/>
    <w:multiLevelType w:val="singleLevel"/>
    <w:tmpl w:val="D90589F8"/>
    <w:lvl w:ilvl="0" w:tentative="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4121EF"/>
    <w:rsid w:val="000A40DA"/>
    <w:rsid w:val="00143295"/>
    <w:rsid w:val="004121EF"/>
    <w:rsid w:val="00546EDA"/>
    <w:rsid w:val="005A4A16"/>
    <w:rsid w:val="006762C7"/>
    <w:rsid w:val="006A0310"/>
    <w:rsid w:val="007937DA"/>
    <w:rsid w:val="00927FC0"/>
    <w:rsid w:val="009C6C30"/>
    <w:rsid w:val="00BA4D3F"/>
    <w:rsid w:val="00FC5F55"/>
    <w:rsid w:val="219535F5"/>
    <w:rsid w:val="21E036B8"/>
    <w:rsid w:val="2B9A27F5"/>
    <w:rsid w:val="32C37DAC"/>
    <w:rsid w:val="35EA3105"/>
    <w:rsid w:val="360576DB"/>
    <w:rsid w:val="3A5242AF"/>
    <w:rsid w:val="3A8D4BDF"/>
    <w:rsid w:val="44302E58"/>
    <w:rsid w:val="58C2495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character" w:styleId="3">
    <w:name w:val="FollowedHyperlink"/>
    <w:basedOn w:val="2"/>
    <w:unhideWhenUsed/>
    <w:uiPriority w:val="99"/>
    <w:rPr>
      <w:color w:val="222222"/>
      <w:u w:val="none"/>
    </w:rPr>
  </w:style>
  <w:style w:type="character" w:styleId="4">
    <w:name w:val="Hyperlink"/>
    <w:basedOn w:val="2"/>
    <w:unhideWhenUsed/>
    <w:uiPriority w:val="99"/>
    <w:rPr>
      <w:color w:val="222222"/>
      <w:u w:val="none"/>
    </w:rPr>
  </w:style>
  <w:style w:type="character" w:customStyle="1" w:styleId="6">
    <w:name w:val="apple-converted-space"/>
    <w:basedOn w:val="2"/>
    <w:qFormat/>
    <w:uiPriority w:val="0"/>
  </w:style>
  <w:style w:type="paragraph" w:customStyle="1" w:styleId="7">
    <w:name w:val="列出段落1"/>
    <w:basedOn w:val="1"/>
    <w:qFormat/>
    <w:uiPriority w:val="34"/>
    <w:pPr>
      <w:ind w:firstLine="420" w:firstLineChars="200"/>
    </w:pPr>
  </w:style>
  <w:style w:type="character" w:customStyle="1" w:styleId="8">
    <w:name w:val="v"/>
    <w:basedOn w:val="2"/>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188</Words>
  <Characters>1077</Characters>
  <Lines>8</Lines>
  <Paragraphs>2</Paragraphs>
  <TotalTime>1</TotalTime>
  <ScaleCrop>false</ScaleCrop>
  <LinksUpToDate>false</LinksUpToDate>
  <CharactersWithSpaces>1263</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2017-03-28T08:29:00Z</dcterms:created>
  <dc:creator>dreamsummit</dc:creator>
  <cp:lastModifiedBy>DELL</cp:lastModifiedBy>
  <dcterms:modified xsi:type="dcterms:W3CDTF">2018-05-10T08:37:10Z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