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404" w:lineRule="atLeast"/>
        <w:jc w:val="center"/>
        <w:rPr>
          <w:rFonts w:ascii="黑体" w:eastAsia="黑体"/>
          <w:sz w:val="36"/>
          <w:szCs w:val="36"/>
        </w:rPr>
      </w:pPr>
      <w:r>
        <w:rPr>
          <w:rFonts w:hint="eastAsia" w:ascii="黑体" w:eastAsia="黑体"/>
          <w:sz w:val="36"/>
          <w:szCs w:val="36"/>
        </w:rPr>
        <w:t>霍永高速公路永和至永和关段征地拆迁指挥部</w:t>
      </w:r>
    </w:p>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仿宋" w:hAnsi="仿宋" w:eastAsia="仿宋" w:cs="宋体"/>
          <w:b/>
          <w:bCs/>
          <w:color w:val="222222"/>
          <w:kern w:val="0"/>
          <w:sz w:val="36"/>
          <w:szCs w:val="36"/>
          <w:lang w:eastAsia="zh-CN"/>
        </w:rPr>
        <w:t>2018</w:t>
      </w:r>
      <w:r>
        <w:rPr>
          <w:rFonts w:hint="eastAsia" w:ascii="仿宋" w:hAnsi="仿宋" w:eastAsia="仿宋" w:cs="宋体"/>
          <w:b/>
          <w:bCs/>
          <w:color w:val="222222"/>
          <w:spacing w:val="10"/>
          <w:kern w:val="0"/>
          <w:sz w:val="36"/>
          <w:szCs w:val="36"/>
        </w:rPr>
        <w:t>年度部门预算情况说明</w:t>
      </w:r>
    </w:p>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宋体" w:hAnsi="宋体" w:eastAsia="宋体" w:cs="宋体"/>
          <w:color w:val="222222"/>
          <w:kern w:val="0"/>
          <w:sz w:val="44"/>
          <w:szCs w:val="44"/>
        </w:rPr>
        <w:t> </w:t>
      </w:r>
    </w:p>
    <w:p>
      <w:pPr>
        <w:widowControl/>
        <w:shd w:val="clear" w:color="auto" w:fill="FFFFFF"/>
        <w:spacing w:line="404" w:lineRule="atLeast"/>
        <w:ind w:firstLine="562"/>
        <w:jc w:val="center"/>
        <w:rPr>
          <w:rFonts w:hint="eastAsia" w:ascii="仿宋" w:hAnsi="仿宋" w:eastAsia="仿宋" w:cs="仿宋"/>
          <w:color w:val="222222"/>
          <w:kern w:val="0"/>
          <w:sz w:val="32"/>
          <w:szCs w:val="32"/>
        </w:rPr>
      </w:pPr>
      <w:r>
        <w:rPr>
          <w:rFonts w:hint="eastAsia" w:ascii="仿宋" w:hAnsi="仿宋" w:eastAsia="仿宋" w:cs="仿宋"/>
          <w:b/>
          <w:bCs/>
          <w:color w:val="222222"/>
          <w:kern w:val="0"/>
          <w:sz w:val="32"/>
          <w:szCs w:val="32"/>
        </w:rPr>
        <w:t>第一部分  概况</w:t>
      </w:r>
    </w:p>
    <w:p>
      <w:pPr>
        <w:widowControl/>
        <w:shd w:val="clear" w:color="auto" w:fill="FFFFFF"/>
        <w:spacing w:line="404" w:lineRule="atLeast"/>
        <w:ind w:firstLine="600"/>
        <w:rPr>
          <w:rFonts w:hint="eastAsia" w:ascii="仿宋" w:hAnsi="仿宋" w:eastAsia="仿宋" w:cs="仿宋"/>
          <w:color w:val="222222"/>
          <w:kern w:val="0"/>
          <w:sz w:val="32"/>
          <w:szCs w:val="32"/>
        </w:rPr>
      </w:pPr>
      <w:r>
        <w:rPr>
          <w:rFonts w:hint="eastAsia" w:ascii="仿宋" w:hAnsi="仿宋" w:eastAsia="仿宋" w:cs="仿宋"/>
          <w:color w:val="222222"/>
          <w:kern w:val="0"/>
          <w:sz w:val="32"/>
          <w:szCs w:val="32"/>
        </w:rPr>
        <w:t>1、</w:t>
      </w:r>
      <w:r>
        <w:rPr>
          <w:rFonts w:hint="eastAsia" w:ascii="仿宋" w:hAnsi="仿宋" w:eastAsia="仿宋" w:cs="仿宋"/>
          <w:color w:val="222222"/>
          <w:spacing w:val="10"/>
          <w:kern w:val="0"/>
          <w:sz w:val="32"/>
          <w:szCs w:val="32"/>
        </w:rPr>
        <w:t>主要职能职责：</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霍永高速公路永和至永和关段征地拆迁指挥部依据征地拆迁相关法律、法规、政策，结合当地实际，负责制定执行征地拆迁工作规则、征地拆迁补偿标准、征地资金规范化管理，协调解决全县征地拆迁工作中遇到的突出问题，保障霍永高速公路征地拆迁工作的顺利进行。</w:t>
      </w:r>
    </w:p>
    <w:p>
      <w:pPr>
        <w:widowControl/>
        <w:shd w:val="clear" w:color="auto" w:fill="FFFFFF"/>
        <w:spacing w:line="404" w:lineRule="atLeast"/>
        <w:ind w:firstLine="600"/>
        <w:rPr>
          <w:rFonts w:hint="eastAsia" w:ascii="仿宋" w:hAnsi="仿宋" w:eastAsia="仿宋" w:cs="仿宋"/>
          <w:color w:val="222222"/>
          <w:spacing w:val="10"/>
          <w:kern w:val="0"/>
          <w:sz w:val="32"/>
          <w:szCs w:val="32"/>
        </w:rPr>
      </w:pPr>
      <w:r>
        <w:rPr>
          <w:rFonts w:hint="eastAsia" w:ascii="仿宋" w:hAnsi="仿宋" w:eastAsia="仿宋" w:cs="仿宋"/>
          <w:color w:val="222222"/>
          <w:kern w:val="0"/>
          <w:sz w:val="32"/>
          <w:szCs w:val="32"/>
        </w:rPr>
        <w:t>2、</w:t>
      </w:r>
      <w:r>
        <w:rPr>
          <w:rFonts w:hint="eastAsia" w:ascii="仿宋" w:hAnsi="仿宋" w:eastAsia="仿宋" w:cs="仿宋"/>
          <w:color w:val="222222"/>
          <w:spacing w:val="10"/>
          <w:kern w:val="0"/>
          <w:sz w:val="32"/>
          <w:szCs w:val="32"/>
        </w:rPr>
        <w:t>部门预算单位构成：</w:t>
      </w:r>
    </w:p>
    <w:p>
      <w:pPr>
        <w:widowControl/>
        <w:spacing w:before="100" w:beforeAutospacing="1" w:after="100" w:afterAutospacing="1"/>
        <w:ind w:firstLine="707" w:firstLineChars="221"/>
        <w:rPr>
          <w:rFonts w:hint="eastAsia" w:ascii="仿宋" w:hAnsi="仿宋" w:eastAsia="仿宋" w:cs="仿宋"/>
          <w:color w:val="222222"/>
          <w:kern w:val="0"/>
          <w:sz w:val="32"/>
          <w:szCs w:val="32"/>
        </w:rPr>
      </w:pPr>
      <w:r>
        <w:rPr>
          <w:rFonts w:hint="eastAsia" w:ascii="仿宋" w:hAnsi="仿宋" w:eastAsia="仿宋" w:cs="仿宋"/>
          <w:sz w:val="32"/>
          <w:szCs w:val="32"/>
        </w:rPr>
        <w:t>征地拆迁指挥部</w:t>
      </w:r>
      <w:r>
        <w:rPr>
          <w:rFonts w:hint="eastAsia" w:ascii="仿宋" w:hAnsi="仿宋" w:eastAsia="仿宋" w:cs="仿宋"/>
          <w:color w:val="000000"/>
          <w:kern w:val="0"/>
          <w:sz w:val="32"/>
          <w:szCs w:val="32"/>
        </w:rPr>
        <w:t>为临时机构数为1个。</w:t>
      </w:r>
    </w:p>
    <w:p>
      <w:pPr>
        <w:widowControl/>
        <w:shd w:val="clear" w:color="auto" w:fill="FFFFFF"/>
        <w:spacing w:line="404" w:lineRule="atLeast"/>
        <w:ind w:firstLine="602"/>
        <w:jc w:val="center"/>
        <w:rPr>
          <w:rFonts w:hint="eastAsia" w:ascii="仿宋" w:hAnsi="仿宋" w:eastAsia="仿宋" w:cs="仿宋"/>
          <w:color w:val="222222"/>
          <w:kern w:val="0"/>
          <w:sz w:val="32"/>
          <w:szCs w:val="32"/>
        </w:rPr>
      </w:pPr>
      <w:r>
        <w:rPr>
          <w:rFonts w:hint="eastAsia" w:ascii="仿宋" w:hAnsi="仿宋" w:eastAsia="仿宋" w:cs="仿宋"/>
          <w:b/>
          <w:bCs/>
          <w:color w:val="222222"/>
          <w:spacing w:val="10"/>
          <w:kern w:val="0"/>
          <w:sz w:val="32"/>
          <w:szCs w:val="32"/>
        </w:rPr>
        <w:t>第二部分  </w:t>
      </w:r>
      <w:r>
        <w:rPr>
          <w:rFonts w:hint="eastAsia" w:ascii="仿宋" w:hAnsi="仿宋" w:eastAsia="仿宋" w:cs="仿宋"/>
          <w:b/>
          <w:bCs/>
          <w:color w:val="222222"/>
          <w:spacing w:val="10"/>
          <w:kern w:val="0"/>
          <w:sz w:val="32"/>
          <w:szCs w:val="32"/>
          <w:lang w:eastAsia="zh-CN"/>
        </w:rPr>
        <w:t>2018</w:t>
      </w:r>
      <w:r>
        <w:rPr>
          <w:rFonts w:hint="eastAsia" w:ascii="仿宋" w:hAnsi="仿宋" w:eastAsia="仿宋" w:cs="仿宋"/>
          <w:b/>
          <w:bCs/>
          <w:color w:val="222222"/>
          <w:spacing w:val="10"/>
          <w:kern w:val="0"/>
          <w:sz w:val="32"/>
          <w:szCs w:val="32"/>
        </w:rPr>
        <w:t>年度部门预算报表</w:t>
      </w:r>
    </w:p>
    <w:p>
      <w:pPr>
        <w:widowControl/>
        <w:shd w:val="clear" w:color="auto" w:fill="FFFFFF"/>
        <w:spacing w:line="404" w:lineRule="atLeast"/>
        <w:ind w:firstLine="600"/>
        <w:rPr>
          <w:rFonts w:hint="eastAsia" w:ascii="仿宋" w:hAnsi="仿宋" w:eastAsia="仿宋" w:cs="仿宋"/>
          <w:color w:val="222222"/>
          <w:kern w:val="0"/>
          <w:sz w:val="32"/>
          <w:szCs w:val="32"/>
        </w:rPr>
      </w:pPr>
      <w:r>
        <w:rPr>
          <w:rFonts w:hint="eastAsia" w:ascii="仿宋" w:hAnsi="仿宋" w:eastAsia="仿宋" w:cs="仿宋"/>
          <w:color w:val="222222"/>
          <w:spacing w:val="10"/>
          <w:kern w:val="0"/>
          <w:sz w:val="32"/>
          <w:szCs w:val="32"/>
        </w:rPr>
        <w:t>本部分内容见附表。</w:t>
      </w:r>
    </w:p>
    <w:p>
      <w:pPr>
        <w:widowControl/>
        <w:shd w:val="clear" w:color="auto" w:fill="FFFFFF"/>
        <w:spacing w:line="404" w:lineRule="atLeast"/>
        <w:ind w:firstLine="602"/>
        <w:jc w:val="center"/>
        <w:rPr>
          <w:rFonts w:hint="eastAsia" w:ascii="仿宋" w:hAnsi="仿宋" w:eastAsia="仿宋" w:cs="仿宋"/>
          <w:color w:val="222222"/>
          <w:kern w:val="0"/>
          <w:sz w:val="32"/>
          <w:szCs w:val="32"/>
        </w:rPr>
      </w:pPr>
      <w:r>
        <w:rPr>
          <w:rFonts w:hint="eastAsia" w:ascii="仿宋" w:hAnsi="仿宋" w:eastAsia="仿宋" w:cs="仿宋"/>
          <w:b/>
          <w:bCs/>
          <w:color w:val="222222"/>
          <w:spacing w:val="10"/>
          <w:kern w:val="0"/>
          <w:sz w:val="32"/>
          <w:szCs w:val="32"/>
        </w:rPr>
        <w:t>第三部分  </w:t>
      </w:r>
      <w:r>
        <w:rPr>
          <w:rFonts w:hint="eastAsia" w:ascii="仿宋" w:hAnsi="仿宋" w:eastAsia="仿宋" w:cs="仿宋"/>
          <w:b/>
          <w:bCs/>
          <w:color w:val="222222"/>
          <w:spacing w:val="10"/>
          <w:kern w:val="0"/>
          <w:sz w:val="32"/>
          <w:szCs w:val="32"/>
          <w:lang w:eastAsia="zh-CN"/>
        </w:rPr>
        <w:t>2018</w:t>
      </w:r>
      <w:r>
        <w:rPr>
          <w:rFonts w:hint="eastAsia" w:ascii="仿宋" w:hAnsi="仿宋" w:eastAsia="仿宋" w:cs="仿宋"/>
          <w:b/>
          <w:bCs/>
          <w:color w:val="222222"/>
          <w:spacing w:val="10"/>
          <w:kern w:val="0"/>
          <w:sz w:val="32"/>
          <w:szCs w:val="32"/>
        </w:rPr>
        <w:t>年度部门预算情况说明</w:t>
      </w:r>
    </w:p>
    <w:p>
      <w:pPr>
        <w:widowControl/>
        <w:shd w:val="clear" w:color="auto" w:fill="FFFFFF"/>
        <w:spacing w:line="404" w:lineRule="atLeast"/>
        <w:ind w:firstLine="600"/>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1、</w:t>
      </w:r>
      <w:r>
        <w:rPr>
          <w:rFonts w:hint="eastAsia" w:ascii="仿宋" w:hAnsi="仿宋" w:eastAsia="仿宋" w:cs="仿宋"/>
          <w:color w:val="222222"/>
          <w:spacing w:val="10"/>
          <w:kern w:val="0"/>
          <w:sz w:val="32"/>
          <w:szCs w:val="32"/>
          <w:lang w:eastAsia="zh-CN"/>
        </w:rPr>
        <w:t>2018</w:t>
      </w:r>
      <w:r>
        <w:rPr>
          <w:rFonts w:hint="eastAsia" w:ascii="仿宋" w:hAnsi="仿宋" w:eastAsia="仿宋" w:cs="仿宋"/>
          <w:color w:val="222222"/>
          <w:spacing w:val="10"/>
          <w:kern w:val="0"/>
          <w:sz w:val="32"/>
          <w:szCs w:val="32"/>
        </w:rPr>
        <w:t>年度部门预算数据变动情况及原因</w:t>
      </w:r>
    </w:p>
    <w:p>
      <w:pPr>
        <w:ind w:firstLine="636"/>
        <w:rPr>
          <w:rFonts w:hint="eastAsia" w:ascii="仿宋" w:hAnsi="仿宋" w:eastAsia="仿宋" w:cs="仿宋"/>
          <w:color w:val="222222"/>
          <w:spacing w:val="10"/>
          <w:kern w:val="0"/>
          <w:sz w:val="32"/>
          <w:szCs w:val="32"/>
        </w:rPr>
      </w:pPr>
      <w:r>
        <w:rPr>
          <w:rFonts w:hint="eastAsia" w:ascii="仿宋" w:hAnsi="仿宋" w:eastAsia="仿宋" w:cs="仿宋"/>
          <w:sz w:val="32"/>
          <w:szCs w:val="32"/>
        </w:rPr>
        <w:t>征地拆迁指挥部</w:t>
      </w:r>
      <w:r>
        <w:rPr>
          <w:rFonts w:hint="eastAsia" w:ascii="仿宋" w:hAnsi="仿宋" w:eastAsia="仿宋" w:cs="仿宋"/>
          <w:color w:val="222222"/>
          <w:spacing w:val="10"/>
          <w:kern w:val="0"/>
          <w:sz w:val="32"/>
          <w:szCs w:val="32"/>
          <w:lang w:eastAsia="zh-CN"/>
        </w:rPr>
        <w:t>2018</w:t>
      </w:r>
      <w:r>
        <w:rPr>
          <w:rFonts w:hint="eastAsia" w:ascii="仿宋" w:hAnsi="仿宋" w:eastAsia="仿宋" w:cs="仿宋"/>
          <w:color w:val="222222"/>
          <w:spacing w:val="10"/>
          <w:kern w:val="0"/>
          <w:sz w:val="32"/>
          <w:szCs w:val="32"/>
        </w:rPr>
        <w:t>年部门财政拨款预算</w:t>
      </w:r>
      <w:r>
        <w:rPr>
          <w:rFonts w:hint="eastAsia" w:ascii="仿宋" w:hAnsi="仿宋" w:eastAsia="仿宋" w:cs="仿宋"/>
          <w:color w:val="222222"/>
          <w:spacing w:val="10"/>
          <w:kern w:val="0"/>
          <w:sz w:val="32"/>
          <w:szCs w:val="32"/>
          <w:lang w:val="en-US" w:eastAsia="zh-CN"/>
        </w:rPr>
        <w:t>40</w:t>
      </w:r>
      <w:r>
        <w:rPr>
          <w:rFonts w:hint="eastAsia" w:ascii="仿宋" w:hAnsi="仿宋" w:eastAsia="仿宋" w:cs="仿宋"/>
          <w:color w:val="222222"/>
          <w:spacing w:val="10"/>
          <w:kern w:val="0"/>
          <w:sz w:val="32"/>
          <w:szCs w:val="32"/>
        </w:rPr>
        <w:t>万元，与201</w:t>
      </w:r>
      <w:r>
        <w:rPr>
          <w:rFonts w:hint="eastAsia" w:ascii="仿宋" w:hAnsi="仿宋" w:eastAsia="仿宋" w:cs="仿宋"/>
          <w:color w:val="222222"/>
          <w:spacing w:val="10"/>
          <w:kern w:val="0"/>
          <w:sz w:val="32"/>
          <w:szCs w:val="32"/>
          <w:lang w:val="en-US" w:eastAsia="zh-CN"/>
        </w:rPr>
        <w:t>7</w:t>
      </w:r>
      <w:r>
        <w:rPr>
          <w:rFonts w:hint="eastAsia" w:ascii="仿宋" w:hAnsi="仿宋" w:eastAsia="仿宋" w:cs="仿宋"/>
          <w:color w:val="222222"/>
          <w:spacing w:val="10"/>
          <w:kern w:val="0"/>
          <w:sz w:val="32"/>
          <w:szCs w:val="32"/>
        </w:rPr>
        <w:t>年</w:t>
      </w:r>
      <w:r>
        <w:rPr>
          <w:rFonts w:hint="eastAsia" w:ascii="仿宋" w:hAnsi="仿宋" w:eastAsia="仿宋" w:cs="仿宋"/>
          <w:color w:val="222222"/>
          <w:spacing w:val="10"/>
          <w:kern w:val="0"/>
          <w:sz w:val="32"/>
          <w:szCs w:val="32"/>
          <w:lang w:val="en-US" w:eastAsia="zh-CN"/>
        </w:rPr>
        <w:t>增加25万元，原因是增加了法律费</w:t>
      </w:r>
      <w:r>
        <w:rPr>
          <w:rFonts w:hint="eastAsia" w:ascii="仿宋" w:hAnsi="仿宋" w:eastAsia="仿宋" w:cs="仿宋"/>
          <w:color w:val="222222"/>
          <w:spacing w:val="10"/>
          <w:kern w:val="0"/>
          <w:sz w:val="32"/>
          <w:szCs w:val="32"/>
        </w:rPr>
        <w:t>。</w:t>
      </w:r>
    </w:p>
    <w:p>
      <w:pPr>
        <w:ind w:firstLine="636"/>
        <w:rPr>
          <w:rFonts w:hint="eastAsia" w:ascii="仿宋" w:hAnsi="仿宋" w:eastAsia="仿宋" w:cs="仿宋"/>
          <w:color w:val="222222"/>
          <w:spacing w:val="10"/>
          <w:kern w:val="0"/>
          <w:sz w:val="32"/>
          <w:szCs w:val="32"/>
        </w:rPr>
      </w:pPr>
      <w:r>
        <w:rPr>
          <w:rFonts w:hint="eastAsia" w:ascii="仿宋" w:hAnsi="仿宋" w:eastAsia="仿宋" w:cs="仿宋"/>
          <w:color w:val="222222"/>
          <w:kern w:val="0"/>
          <w:sz w:val="32"/>
          <w:szCs w:val="32"/>
        </w:rPr>
        <w:t>2、</w:t>
      </w:r>
      <w:r>
        <w:rPr>
          <w:rFonts w:hint="eastAsia" w:ascii="仿宋" w:hAnsi="仿宋" w:eastAsia="仿宋" w:cs="仿宋"/>
          <w:color w:val="222222"/>
          <w:spacing w:val="10"/>
          <w:kern w:val="0"/>
          <w:sz w:val="32"/>
          <w:szCs w:val="32"/>
        </w:rPr>
        <w:t>“三公”经费增减变动原因说明</w:t>
      </w:r>
    </w:p>
    <w:p>
      <w:pPr>
        <w:ind w:firstLine="636"/>
        <w:rPr>
          <w:rFonts w:hint="eastAsia" w:ascii="仿宋" w:hAnsi="仿宋" w:eastAsia="仿宋" w:cs="仿宋"/>
          <w:color w:val="222222"/>
          <w:spacing w:val="10"/>
          <w:kern w:val="0"/>
          <w:sz w:val="32"/>
          <w:szCs w:val="32"/>
        </w:rPr>
      </w:pPr>
      <w:r>
        <w:rPr>
          <w:rFonts w:hint="eastAsia" w:ascii="仿宋" w:hAnsi="仿宋" w:eastAsia="仿宋" w:cs="仿宋"/>
          <w:sz w:val="32"/>
          <w:szCs w:val="32"/>
        </w:rPr>
        <w:t>征地拆迁指挥部</w:t>
      </w:r>
      <w:r>
        <w:rPr>
          <w:rFonts w:hint="eastAsia" w:ascii="仿宋" w:hAnsi="仿宋" w:eastAsia="仿宋" w:cs="仿宋"/>
          <w:color w:val="222222"/>
          <w:spacing w:val="10"/>
          <w:kern w:val="0"/>
          <w:sz w:val="32"/>
          <w:szCs w:val="32"/>
          <w:lang w:eastAsia="zh-CN"/>
        </w:rPr>
        <w:t>2018</w:t>
      </w:r>
      <w:r>
        <w:rPr>
          <w:rFonts w:hint="eastAsia" w:ascii="仿宋" w:hAnsi="仿宋" w:eastAsia="仿宋" w:cs="仿宋"/>
          <w:color w:val="222222"/>
          <w:spacing w:val="10"/>
          <w:kern w:val="0"/>
          <w:sz w:val="32"/>
          <w:szCs w:val="32"/>
        </w:rPr>
        <w:t>年无“三公”经费财政拨款预算。</w:t>
      </w:r>
    </w:p>
    <w:p>
      <w:pPr>
        <w:ind w:firstLine="636"/>
        <w:rPr>
          <w:rFonts w:hint="eastAsia" w:ascii="仿宋" w:hAnsi="仿宋" w:eastAsia="仿宋" w:cs="仿宋"/>
          <w:color w:val="222222"/>
          <w:spacing w:val="10"/>
          <w:kern w:val="0"/>
          <w:sz w:val="32"/>
          <w:szCs w:val="32"/>
        </w:rPr>
      </w:pPr>
      <w:r>
        <w:rPr>
          <w:rFonts w:hint="eastAsia" w:ascii="仿宋" w:hAnsi="仿宋" w:eastAsia="仿宋" w:cs="仿宋"/>
          <w:color w:val="222222"/>
          <w:kern w:val="0"/>
          <w:sz w:val="32"/>
          <w:szCs w:val="32"/>
        </w:rPr>
        <w:t>3、</w:t>
      </w:r>
      <w:r>
        <w:rPr>
          <w:rFonts w:hint="eastAsia" w:ascii="仿宋" w:hAnsi="仿宋" w:eastAsia="仿宋" w:cs="仿宋"/>
          <w:color w:val="222222"/>
          <w:spacing w:val="10"/>
          <w:kern w:val="0"/>
          <w:sz w:val="32"/>
          <w:szCs w:val="32"/>
        </w:rPr>
        <w:t>机关运行经费增减变动原因说明</w:t>
      </w:r>
    </w:p>
    <w:p>
      <w:pPr>
        <w:ind w:firstLine="636"/>
        <w:rPr>
          <w:rFonts w:hint="eastAsia" w:ascii="仿宋" w:hAnsi="仿宋" w:eastAsia="仿宋" w:cs="仿宋"/>
          <w:color w:val="222222"/>
          <w:spacing w:val="10"/>
          <w:kern w:val="0"/>
          <w:sz w:val="32"/>
          <w:szCs w:val="32"/>
        </w:rPr>
      </w:pPr>
      <w:r>
        <w:rPr>
          <w:rFonts w:hint="eastAsia" w:ascii="仿宋" w:hAnsi="仿宋" w:eastAsia="仿宋" w:cs="仿宋"/>
          <w:sz w:val="32"/>
          <w:szCs w:val="32"/>
        </w:rPr>
        <w:t>霍永高速公路</w:t>
      </w:r>
      <w:r>
        <w:rPr>
          <w:rFonts w:hint="eastAsia" w:ascii="仿宋" w:hAnsi="仿宋" w:eastAsia="仿宋" w:cs="仿宋"/>
          <w:color w:val="222222"/>
          <w:spacing w:val="10"/>
          <w:kern w:val="0"/>
          <w:sz w:val="32"/>
          <w:szCs w:val="32"/>
          <w:lang w:eastAsia="zh-CN"/>
        </w:rPr>
        <w:t>2018</w:t>
      </w:r>
      <w:r>
        <w:rPr>
          <w:rFonts w:hint="eastAsia" w:ascii="仿宋" w:hAnsi="仿宋" w:eastAsia="仿宋" w:cs="仿宋"/>
          <w:color w:val="222222"/>
          <w:spacing w:val="10"/>
          <w:kern w:val="0"/>
          <w:sz w:val="32"/>
          <w:szCs w:val="32"/>
        </w:rPr>
        <w:t>年机关运行经费财政拨款预算</w:t>
      </w:r>
      <w:r>
        <w:rPr>
          <w:rFonts w:hint="eastAsia" w:ascii="仿宋" w:hAnsi="仿宋" w:eastAsia="仿宋" w:cs="仿宋"/>
          <w:color w:val="222222"/>
          <w:spacing w:val="10"/>
          <w:kern w:val="0"/>
          <w:sz w:val="32"/>
          <w:szCs w:val="32"/>
          <w:lang w:val="en-US" w:eastAsia="zh-CN"/>
        </w:rPr>
        <w:t>15</w:t>
      </w:r>
      <w:r>
        <w:rPr>
          <w:rFonts w:hint="eastAsia" w:ascii="仿宋" w:hAnsi="仿宋" w:eastAsia="仿宋" w:cs="仿宋"/>
          <w:color w:val="222222"/>
          <w:spacing w:val="10"/>
          <w:kern w:val="0"/>
          <w:sz w:val="32"/>
          <w:szCs w:val="32"/>
        </w:rPr>
        <w:t>万元</w:t>
      </w:r>
      <w:r>
        <w:rPr>
          <w:rFonts w:hint="eastAsia" w:ascii="仿宋" w:hAnsi="仿宋" w:eastAsia="仿宋" w:cs="仿宋"/>
          <w:color w:val="222222"/>
          <w:spacing w:val="10"/>
          <w:kern w:val="0"/>
          <w:sz w:val="32"/>
          <w:szCs w:val="32"/>
          <w:lang w:eastAsia="zh-CN"/>
        </w:rPr>
        <w:t>，</w:t>
      </w:r>
      <w:r>
        <w:rPr>
          <w:rFonts w:hint="eastAsia" w:ascii="仿宋" w:hAnsi="仿宋" w:eastAsia="仿宋" w:cs="仿宋"/>
          <w:color w:val="222222"/>
          <w:spacing w:val="10"/>
          <w:kern w:val="0"/>
          <w:sz w:val="32"/>
          <w:szCs w:val="32"/>
          <w:lang w:val="en-US" w:eastAsia="zh-CN"/>
        </w:rPr>
        <w:t>与2017年持平</w:t>
      </w:r>
      <w:r>
        <w:rPr>
          <w:rFonts w:hint="eastAsia" w:ascii="仿宋" w:hAnsi="仿宋" w:eastAsia="仿宋" w:cs="仿宋"/>
          <w:color w:val="222222"/>
          <w:spacing w:val="10"/>
          <w:kern w:val="0"/>
          <w:sz w:val="32"/>
          <w:szCs w:val="32"/>
        </w:rPr>
        <w:t>。</w:t>
      </w:r>
    </w:p>
    <w:p>
      <w:pPr>
        <w:widowControl/>
        <w:shd w:val="clear" w:color="auto" w:fill="FFFFFF"/>
        <w:spacing w:line="404" w:lineRule="atLeast"/>
        <w:rPr>
          <w:rFonts w:hint="eastAsia" w:ascii="仿宋" w:hAnsi="仿宋" w:eastAsia="仿宋" w:cs="仿宋"/>
          <w:color w:val="222222"/>
          <w:spacing w:val="10"/>
          <w:kern w:val="0"/>
          <w:sz w:val="32"/>
          <w:szCs w:val="32"/>
        </w:rPr>
      </w:pPr>
      <w:r>
        <w:rPr>
          <w:rFonts w:hint="eastAsia" w:ascii="仿宋" w:hAnsi="仿宋" w:eastAsia="仿宋" w:cs="仿宋"/>
          <w:color w:val="222222"/>
          <w:kern w:val="0"/>
          <w:sz w:val="32"/>
          <w:szCs w:val="32"/>
          <w:lang w:val="en-US" w:eastAsia="zh-CN"/>
        </w:rPr>
        <w:t xml:space="preserve">    </w:t>
      </w:r>
      <w:r>
        <w:rPr>
          <w:rFonts w:hint="eastAsia" w:ascii="仿宋" w:hAnsi="仿宋" w:eastAsia="仿宋" w:cs="仿宋"/>
          <w:color w:val="222222"/>
          <w:kern w:val="0"/>
          <w:sz w:val="32"/>
          <w:szCs w:val="32"/>
        </w:rPr>
        <w:t>4、</w:t>
      </w:r>
      <w:r>
        <w:rPr>
          <w:rFonts w:hint="eastAsia" w:ascii="仿宋" w:hAnsi="仿宋" w:eastAsia="仿宋" w:cs="仿宋"/>
          <w:color w:val="222222"/>
          <w:spacing w:val="10"/>
          <w:kern w:val="0"/>
          <w:sz w:val="32"/>
          <w:szCs w:val="32"/>
        </w:rPr>
        <w:t>其他说明</w:t>
      </w:r>
    </w:p>
    <w:p>
      <w:pPr>
        <w:ind w:firstLine="636"/>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（1）政府采购情况</w:t>
      </w:r>
    </w:p>
    <w:p>
      <w:pPr>
        <w:ind w:firstLine="636"/>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lang w:eastAsia="zh-CN"/>
        </w:rPr>
        <w:t>2018</w:t>
      </w:r>
      <w:r>
        <w:rPr>
          <w:rFonts w:hint="eastAsia" w:ascii="仿宋" w:hAnsi="仿宋" w:eastAsia="仿宋" w:cs="仿宋"/>
          <w:color w:val="222222"/>
          <w:spacing w:val="10"/>
          <w:kern w:val="0"/>
          <w:sz w:val="32"/>
          <w:szCs w:val="32"/>
        </w:rPr>
        <w:t>年</w:t>
      </w:r>
      <w:r>
        <w:rPr>
          <w:rFonts w:hint="eastAsia" w:ascii="仿宋" w:hAnsi="仿宋" w:eastAsia="仿宋" w:cs="仿宋"/>
          <w:sz w:val="32"/>
          <w:szCs w:val="32"/>
        </w:rPr>
        <w:t>征地拆迁指挥部</w:t>
      </w:r>
      <w:r>
        <w:rPr>
          <w:rFonts w:hint="eastAsia" w:ascii="仿宋" w:hAnsi="仿宋" w:eastAsia="仿宋" w:cs="仿宋"/>
          <w:color w:val="222222"/>
          <w:spacing w:val="10"/>
          <w:kern w:val="0"/>
          <w:sz w:val="32"/>
          <w:szCs w:val="32"/>
        </w:rPr>
        <w:t>无县级预算政府采购项目。</w:t>
      </w:r>
    </w:p>
    <w:p>
      <w:pPr>
        <w:ind w:firstLine="636"/>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（2）政府购买服务指导性目录</w:t>
      </w:r>
    </w:p>
    <w:p>
      <w:pPr>
        <w:ind w:firstLine="636"/>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（3）国有资产占有使用情况</w:t>
      </w:r>
    </w:p>
    <w:p>
      <w:pPr>
        <w:ind w:firstLine="636"/>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1.车辆情况：</w:t>
      </w:r>
      <w:r>
        <w:rPr>
          <w:rFonts w:hint="eastAsia" w:ascii="仿宋" w:hAnsi="仿宋" w:eastAsia="仿宋" w:cs="仿宋"/>
          <w:sz w:val="32"/>
          <w:szCs w:val="32"/>
        </w:rPr>
        <w:t>征地拆迁指挥部</w:t>
      </w:r>
      <w:r>
        <w:rPr>
          <w:rFonts w:hint="eastAsia" w:ascii="仿宋" w:hAnsi="仿宋" w:eastAsia="仿宋" w:cs="仿宋"/>
          <w:color w:val="222222"/>
          <w:spacing w:val="10"/>
          <w:kern w:val="0"/>
          <w:sz w:val="32"/>
          <w:szCs w:val="32"/>
        </w:rPr>
        <w:t>无公务用车。</w:t>
      </w:r>
    </w:p>
    <w:p>
      <w:pPr>
        <w:ind w:firstLine="636"/>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2.其他国有资产占有使用情况。办公设备资产2.1万元。</w:t>
      </w:r>
    </w:p>
    <w:p>
      <w:pPr>
        <w:ind w:firstLine="636"/>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（4）绩效管理情况</w:t>
      </w:r>
    </w:p>
    <w:p>
      <w:pPr>
        <w:ind w:firstLine="636"/>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lang w:eastAsia="zh-CN"/>
        </w:rPr>
        <w:t>2018</w:t>
      </w:r>
      <w:r>
        <w:rPr>
          <w:rFonts w:hint="eastAsia" w:ascii="仿宋" w:hAnsi="仿宋" w:eastAsia="仿宋" w:cs="仿宋"/>
          <w:color w:val="222222"/>
          <w:spacing w:val="10"/>
          <w:kern w:val="0"/>
          <w:sz w:val="32"/>
          <w:szCs w:val="32"/>
        </w:rPr>
        <w:t>年无绩效管理项目。</w:t>
      </w:r>
    </w:p>
    <w:p>
      <w:pPr>
        <w:ind w:firstLine="636"/>
        <w:rPr>
          <w:rFonts w:hint="eastAsia" w:ascii="仿宋" w:hAnsi="仿宋" w:eastAsia="仿宋" w:cs="仿宋"/>
          <w:color w:val="222222"/>
          <w:spacing w:val="10"/>
          <w:kern w:val="0"/>
          <w:sz w:val="32"/>
          <w:szCs w:val="32"/>
          <w:lang w:val="en-US" w:eastAsia="zh-CN"/>
        </w:rPr>
      </w:pPr>
      <w:r>
        <w:rPr>
          <w:rFonts w:hint="eastAsia" w:ascii="仿宋" w:hAnsi="仿宋" w:eastAsia="仿宋" w:cs="仿宋"/>
          <w:color w:val="222222"/>
          <w:spacing w:val="10"/>
          <w:kern w:val="0"/>
          <w:sz w:val="32"/>
          <w:szCs w:val="32"/>
          <w:lang w:eastAsia="zh-CN"/>
        </w:rPr>
        <w:t>（</w:t>
      </w:r>
      <w:r>
        <w:rPr>
          <w:rFonts w:hint="eastAsia" w:ascii="仿宋" w:hAnsi="仿宋" w:eastAsia="仿宋" w:cs="仿宋"/>
          <w:color w:val="222222"/>
          <w:spacing w:val="10"/>
          <w:kern w:val="0"/>
          <w:sz w:val="32"/>
          <w:szCs w:val="32"/>
          <w:lang w:val="en-US" w:eastAsia="zh-CN"/>
        </w:rPr>
        <w:t>5</w:t>
      </w:r>
      <w:r>
        <w:rPr>
          <w:rFonts w:hint="eastAsia" w:ascii="仿宋" w:hAnsi="仿宋" w:eastAsia="仿宋" w:cs="仿宋"/>
          <w:color w:val="222222"/>
          <w:spacing w:val="10"/>
          <w:kern w:val="0"/>
          <w:sz w:val="32"/>
          <w:szCs w:val="32"/>
          <w:lang w:eastAsia="zh-CN"/>
        </w:rPr>
        <w:t>）</w:t>
      </w:r>
      <w:r>
        <w:rPr>
          <w:rFonts w:hint="eastAsia" w:ascii="仿宋" w:hAnsi="仿宋" w:eastAsia="仿宋" w:cs="仿宋"/>
          <w:color w:val="222222"/>
          <w:spacing w:val="10"/>
          <w:kern w:val="0"/>
          <w:sz w:val="32"/>
          <w:szCs w:val="32"/>
          <w:lang w:val="en-US" w:eastAsia="zh-CN"/>
        </w:rPr>
        <w:t>其他</w:t>
      </w:r>
      <w:bookmarkStart w:id="0" w:name="_GoBack"/>
      <w:bookmarkEnd w:id="0"/>
    </w:p>
    <w:p>
      <w:pPr>
        <w:widowControl/>
        <w:shd w:val="clear" w:color="auto" w:fill="FFFFFF"/>
        <w:spacing w:line="404" w:lineRule="atLeast"/>
        <w:jc w:val="center"/>
        <w:rPr>
          <w:rFonts w:hint="eastAsia" w:ascii="仿宋" w:hAnsi="仿宋" w:eastAsia="仿宋" w:cs="仿宋"/>
          <w:color w:val="222222"/>
          <w:kern w:val="0"/>
          <w:sz w:val="32"/>
          <w:szCs w:val="32"/>
        </w:rPr>
      </w:pPr>
      <w:r>
        <w:rPr>
          <w:rFonts w:hint="eastAsia" w:ascii="仿宋" w:hAnsi="仿宋" w:eastAsia="仿宋" w:cs="仿宋"/>
          <w:b/>
          <w:bCs/>
          <w:color w:val="222222"/>
          <w:kern w:val="0"/>
          <w:sz w:val="32"/>
          <w:szCs w:val="32"/>
        </w:rPr>
        <w:t>第四部分   名词解释</w:t>
      </w:r>
    </w:p>
    <w:p>
      <w:pPr>
        <w:autoSpaceDE w:val="0"/>
        <w:autoSpaceDN w:val="0"/>
        <w:adjustRightInd w:val="0"/>
        <w:ind w:firstLine="680" w:firstLineChars="200"/>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（1）基本支出：指为保障机构正常运转、完成日常</w:t>
      </w:r>
    </w:p>
    <w:p>
      <w:pPr>
        <w:autoSpaceDE w:val="0"/>
        <w:autoSpaceDN w:val="0"/>
        <w:adjustRightInd w:val="0"/>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工作任务而发生的人员支出和公用支出。</w:t>
      </w:r>
    </w:p>
    <w:p>
      <w:pPr>
        <w:autoSpaceDE w:val="0"/>
        <w:autoSpaceDN w:val="0"/>
        <w:adjustRightInd w:val="0"/>
        <w:ind w:firstLine="680" w:firstLineChars="200"/>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（2）项目支出：指在基本支出之外为完成特定行政任务和事业发展目标所发生的支出。</w:t>
      </w:r>
    </w:p>
    <w:p>
      <w:pPr>
        <w:autoSpaceDE w:val="0"/>
        <w:autoSpaceDN w:val="0"/>
        <w:adjustRightInd w:val="0"/>
        <w:ind w:firstLine="680" w:firstLineChars="200"/>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3）“三公”经费：指市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autoSpaceDE w:val="0"/>
        <w:autoSpaceDN w:val="0"/>
        <w:adjustRightInd w:val="0"/>
        <w:ind w:firstLine="680" w:firstLineChars="200"/>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（4）机关运行经费：指行政单位和参照公务员法管理的事业单位使用一般公共预算安排的基本支出中的日常公用经费支出。</w:t>
      </w:r>
    </w:p>
    <w:p>
      <w:pPr>
        <w:ind w:firstLine="636"/>
        <w:rPr>
          <w:rFonts w:ascii="仿宋_GB2312" w:hAnsi="仿宋" w:eastAsia="仿宋_GB2312" w:cs="宋体"/>
          <w:color w:val="222222"/>
          <w:spacing w:val="10"/>
          <w:kern w:val="0"/>
          <w:sz w:val="32"/>
          <w:szCs w:val="32"/>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21EF"/>
    <w:rsid w:val="001A59CA"/>
    <w:rsid w:val="001D5F82"/>
    <w:rsid w:val="002513BA"/>
    <w:rsid w:val="002A7A3B"/>
    <w:rsid w:val="002C696F"/>
    <w:rsid w:val="004121EF"/>
    <w:rsid w:val="004F07EF"/>
    <w:rsid w:val="00546EDA"/>
    <w:rsid w:val="005A4A16"/>
    <w:rsid w:val="006762C7"/>
    <w:rsid w:val="007937DA"/>
    <w:rsid w:val="00983C7E"/>
    <w:rsid w:val="00A563B5"/>
    <w:rsid w:val="00C146FA"/>
    <w:rsid w:val="00D22E46"/>
    <w:rsid w:val="00DF6E62"/>
    <w:rsid w:val="00EF4416"/>
    <w:rsid w:val="00FC5F55"/>
    <w:rsid w:val="088C6725"/>
    <w:rsid w:val="0EF851D4"/>
    <w:rsid w:val="2C8969D5"/>
    <w:rsid w:val="6CED40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qFormat/>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apple-converted-space"/>
    <w:basedOn w:val="4"/>
    <w:qFormat/>
    <w:uiPriority w:val="0"/>
  </w:style>
  <w:style w:type="paragraph" w:customStyle="1" w:styleId="7">
    <w:name w:val="List Paragraph"/>
    <w:basedOn w:val="1"/>
    <w:qFormat/>
    <w:uiPriority w:val="34"/>
    <w:pPr>
      <w:ind w:firstLine="420" w:firstLineChars="200"/>
    </w:pPr>
  </w:style>
  <w:style w:type="character" w:customStyle="1" w:styleId="8">
    <w:name w:val="页眉 Char"/>
    <w:basedOn w:val="4"/>
    <w:link w:val="3"/>
    <w:qFormat/>
    <w:uiPriority w:val="99"/>
    <w:rPr>
      <w:sz w:val="18"/>
      <w:szCs w:val="18"/>
    </w:rPr>
  </w:style>
  <w:style w:type="character" w:customStyle="1" w:styleId="9">
    <w:name w:val="页脚 Char"/>
    <w:basedOn w:val="4"/>
    <w:link w:val="2"/>
    <w:qFormat/>
    <w:uiPriority w:val="99"/>
    <w:rPr>
      <w:sz w:val="18"/>
      <w:szCs w:val="18"/>
    </w:rPr>
  </w:style>
  <w:style w:type="paragraph" w:customStyle="1" w:styleId="10">
    <w:name w:val="默认段落字体 Para Char Char Char Char Char Char1"/>
    <w:basedOn w:val="1"/>
    <w:qFormat/>
    <w:uiPriority w:val="0"/>
    <w:rPr>
      <w:rFonts w:ascii="Times New Roman" w:hAnsi="Times New Roman" w:eastAsia="宋体" w:cs="Times New Roman"/>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3</Pages>
  <Words>130</Words>
  <Characters>745</Characters>
  <Lines>6</Lines>
  <Paragraphs>1</Paragraphs>
  <TotalTime>5</TotalTime>
  <ScaleCrop>false</ScaleCrop>
  <LinksUpToDate>false</LinksUpToDate>
  <CharactersWithSpaces>874</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2017-03-29T03:26:00Z</dcterms:created>
  <dc:creator>dreamsummit</dc:creator>
  <cp:lastModifiedBy>DELL</cp:lastModifiedBy>
  <dcterms:modified xsi:type="dcterms:W3CDTF">2018-05-09T08:09:37Z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